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D48" w:rsidRPr="00996327" w:rsidRDefault="00DD3D48" w:rsidP="00DD3D48">
      <w:pPr>
        <w:keepNext/>
        <w:keepLines/>
        <w:spacing w:before="200"/>
        <w:outlineLvl w:val="1"/>
        <w:rPr>
          <w:rFonts w:ascii="Calibri" w:hAnsi="Calibri" w:cs="Calibri"/>
          <w:b/>
          <w:sz w:val="28"/>
          <w:szCs w:val="28"/>
        </w:rPr>
      </w:pPr>
      <w:r w:rsidRPr="00996327">
        <w:rPr>
          <w:rFonts w:ascii="Calibri" w:hAnsi="Calibri" w:cs="Calibri"/>
          <w:b/>
          <w:sz w:val="28"/>
          <w:szCs w:val="28"/>
        </w:rPr>
        <w:t>Tabuľka:  „Technické požiadavky a špecifikácia rekonštruovaných výťahov“</w:t>
      </w:r>
    </w:p>
    <w:p w:rsidR="00DD3D48" w:rsidRPr="00996327" w:rsidRDefault="00DD3D48" w:rsidP="00DD3D48">
      <w:pPr>
        <w:rPr>
          <w:rFonts w:ascii="Calibri" w:hAnsi="Calibri" w:cs="Calibri"/>
          <w:sz w:val="22"/>
          <w:szCs w:val="22"/>
          <w:highlight w:val="green"/>
          <w:lang w:eastAsia="x-none"/>
        </w:rPr>
      </w:pP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709"/>
        <w:gridCol w:w="708"/>
        <w:gridCol w:w="1153"/>
      </w:tblGrid>
      <w:tr w:rsidR="00DD3D48" w:rsidRPr="00996327" w:rsidTr="0029515D"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48" w:rsidRPr="00996327" w:rsidRDefault="00DD3D48" w:rsidP="0029515D">
            <w:pPr>
              <w:pStyle w:val="NumberList"/>
              <w:tabs>
                <w:tab w:val="num" w:pos="284"/>
              </w:tabs>
              <w:ind w:left="0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</w:pPr>
            <w:r w:rsidRPr="00996327"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  <w:t>Požiadavka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48" w:rsidRPr="00996327" w:rsidRDefault="00DD3D48" w:rsidP="0029515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n-US" w:eastAsia="x-none"/>
              </w:rPr>
            </w:pPr>
            <w:r w:rsidRPr="00996327">
              <w:rPr>
                <w:rFonts w:ascii="Calibri" w:eastAsia="Calibri" w:hAnsi="Calibri" w:cs="Calibri"/>
                <w:b/>
                <w:sz w:val="22"/>
                <w:szCs w:val="22"/>
                <w:lang w:eastAsia="x-none"/>
              </w:rPr>
              <w:t>Plnenie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48" w:rsidRPr="00996327" w:rsidRDefault="00DD3D48" w:rsidP="0029515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x-none"/>
              </w:rPr>
            </w:pPr>
            <w:r w:rsidRPr="00996327">
              <w:rPr>
                <w:rFonts w:ascii="Calibri" w:eastAsia="Calibri" w:hAnsi="Calibri" w:cs="Calibri"/>
                <w:b/>
                <w:sz w:val="22"/>
                <w:szCs w:val="22"/>
                <w:lang w:eastAsia="x-none"/>
              </w:rPr>
              <w:t>Výrobca, typ</w:t>
            </w:r>
          </w:p>
        </w:tc>
      </w:tr>
      <w:tr w:rsidR="00DD3D48" w:rsidRPr="00996327" w:rsidTr="0029515D"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48" w:rsidRPr="00996327" w:rsidRDefault="00DD3D48" w:rsidP="002951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48" w:rsidRPr="00996327" w:rsidRDefault="00DD3D48" w:rsidP="0029515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x-none"/>
              </w:rPr>
            </w:pPr>
            <w:proofErr w:type="spellStart"/>
            <w:r w:rsidRPr="00996327">
              <w:rPr>
                <w:rFonts w:ascii="Calibri" w:eastAsia="Calibri" w:hAnsi="Calibri" w:cs="Calibri"/>
                <w:b/>
                <w:sz w:val="22"/>
                <w:szCs w:val="22"/>
                <w:lang w:eastAsia="x-none"/>
              </w:rPr>
              <w:t>Ano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48" w:rsidRPr="00996327" w:rsidRDefault="00DD3D48" w:rsidP="0029515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x-none"/>
              </w:rPr>
            </w:pPr>
            <w:r w:rsidRPr="00996327">
              <w:rPr>
                <w:rFonts w:ascii="Calibri" w:eastAsia="Calibri" w:hAnsi="Calibri" w:cs="Calibri"/>
                <w:b/>
                <w:sz w:val="22"/>
                <w:szCs w:val="22"/>
                <w:lang w:eastAsia="x-none"/>
              </w:rPr>
              <w:t>Nie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48" w:rsidRPr="00996327" w:rsidRDefault="00DD3D48" w:rsidP="0029515D">
            <w:pPr>
              <w:rPr>
                <w:rFonts w:ascii="Calibri" w:eastAsia="MS Mincho" w:hAnsi="Calibri" w:cs="Calibri"/>
                <w:b/>
                <w:sz w:val="22"/>
                <w:szCs w:val="22"/>
                <w:lang w:val="en-US" w:eastAsia="x-none"/>
              </w:rPr>
            </w:pPr>
          </w:p>
        </w:tc>
      </w:tr>
      <w:tr w:rsidR="00DD3D48" w:rsidRPr="00996327" w:rsidTr="0029515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48" w:rsidRPr="00996327" w:rsidRDefault="00DD3D48" w:rsidP="0029515D">
            <w:pPr>
              <w:pStyle w:val="NumberList"/>
              <w:tabs>
                <w:tab w:val="num" w:pos="284"/>
              </w:tabs>
              <w:ind w:left="0"/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</w:pPr>
            <w:r w:rsidRPr="00996327"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  <w:t xml:space="preserve">Výťahy budú využívať jednoduchý synchrónny </w:t>
            </w:r>
            <w:proofErr w:type="spellStart"/>
            <w:r w:rsidRPr="00996327"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  <w:t>bezprevodový</w:t>
            </w:r>
            <w:proofErr w:type="spellEnd"/>
            <w:r w:rsidRPr="00996327"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  <w:t xml:space="preserve"> stroj </w:t>
            </w:r>
          </w:p>
          <w:p w:rsidR="00DD3D48" w:rsidRPr="00996327" w:rsidRDefault="00DD3D48" w:rsidP="0029515D">
            <w:pPr>
              <w:pStyle w:val="NumberList"/>
              <w:tabs>
                <w:tab w:val="num" w:pos="284"/>
              </w:tabs>
              <w:ind w:left="0"/>
              <w:rPr>
                <w:rFonts w:ascii="Calibri" w:eastAsia="Calibri" w:hAnsi="Calibri" w:cs="Calibri"/>
                <w:b w:val="0"/>
                <w:bCs/>
                <w:sz w:val="22"/>
                <w:szCs w:val="22"/>
                <w:lang w:val="sk-SK"/>
              </w:rPr>
            </w:pPr>
            <w:r w:rsidRPr="00996327">
              <w:rPr>
                <w:rFonts w:ascii="Calibri" w:eastAsia="Calibri" w:hAnsi="Calibri" w:cs="Calibri"/>
                <w:b w:val="0"/>
                <w:bCs/>
                <w:sz w:val="22"/>
                <w:szCs w:val="22"/>
                <w:lang w:val="sk-SK"/>
              </w:rPr>
              <w:t>(nevyžaduje plnenie prevodovým olejom, minimalizuje ekologické riziko úniku nebezpečných látok do prostredia nemocnice, zvyšuje hygienickú úroveň prostredia nemocnice elimináciou nebezpečných výparov)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</w:tr>
      <w:tr w:rsidR="00DD3D48" w:rsidRPr="00996327" w:rsidTr="0029515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48" w:rsidRPr="00996327" w:rsidRDefault="00DD3D48" w:rsidP="0029515D">
            <w:pPr>
              <w:pStyle w:val="NumberList"/>
              <w:ind w:left="0"/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</w:pPr>
            <w:r w:rsidRPr="00996327"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  <w:t xml:space="preserve">Výťahy budú využívať ploché polyuretánové pásy ako hlavné nosné prostriedky </w:t>
            </w:r>
          </w:p>
          <w:p w:rsidR="00DD3D48" w:rsidRPr="00996327" w:rsidRDefault="00DD3D48" w:rsidP="0029515D">
            <w:pPr>
              <w:pStyle w:val="NumberList"/>
              <w:ind w:left="0"/>
              <w:rPr>
                <w:rFonts w:ascii="Calibri" w:eastAsia="Calibri" w:hAnsi="Calibri" w:cs="Calibri"/>
                <w:b w:val="0"/>
                <w:bCs/>
                <w:sz w:val="22"/>
                <w:szCs w:val="22"/>
              </w:rPr>
            </w:pPr>
            <w:r w:rsidRPr="00996327">
              <w:rPr>
                <w:rFonts w:ascii="Calibri" w:eastAsia="Calibri" w:hAnsi="Calibri" w:cs="Calibri"/>
                <w:b w:val="0"/>
                <w:bCs/>
                <w:sz w:val="22"/>
                <w:szCs w:val="22"/>
                <w:lang w:val="sk-SK"/>
              </w:rPr>
              <w:t>(nevyžadujú si mazanie, eliminuje sa ekologické riziko znečistenia prostredia a elimináciou nebezpečných výparov sa zvyšuje hygienická úroveň prostredia budovy nemocnice, zabezpečuje sa nízka hlučnosť a komplexne sa zvyšuje kvalita prostredia nemocnice, zabezpečuje sa dlhá životnosť a úspora nákladov na údržbu)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</w:tr>
      <w:tr w:rsidR="00DD3D48" w:rsidRPr="00996327" w:rsidTr="0029515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48" w:rsidRPr="00996327" w:rsidRDefault="00DD3D48" w:rsidP="0029515D">
            <w:pPr>
              <w:pStyle w:val="NumberList"/>
              <w:ind w:left="0"/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</w:pPr>
            <w:r w:rsidRPr="00996327"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  <w:t>Výťahy budú vybavené zariadením na trvalú elektronickú kontrolu celistvosti nosných prostriedkov, alebo inú elektronickú kontrolu celistvosti nosných prostriedkov</w:t>
            </w:r>
          </w:p>
          <w:p w:rsidR="00DD3D48" w:rsidRPr="00996327" w:rsidRDefault="00DD3D48" w:rsidP="0029515D">
            <w:pPr>
              <w:pStyle w:val="NumberList"/>
              <w:ind w:left="0"/>
              <w:rPr>
                <w:rFonts w:ascii="Calibri" w:eastAsia="Calibri" w:hAnsi="Calibri" w:cs="Calibri"/>
                <w:b w:val="0"/>
                <w:bCs/>
                <w:sz w:val="22"/>
                <w:szCs w:val="22"/>
                <w:lang w:val="sk-SK"/>
              </w:rPr>
            </w:pPr>
            <w:r w:rsidRPr="00996327">
              <w:rPr>
                <w:rFonts w:ascii="Calibri" w:eastAsia="Calibri" w:hAnsi="Calibri" w:cs="Calibri"/>
                <w:b w:val="0"/>
                <w:bCs/>
                <w:sz w:val="22"/>
                <w:szCs w:val="22"/>
                <w:lang w:val="sk-SK"/>
              </w:rPr>
              <w:t>(-zvýšenie bezpečnosti výťahov elimináciou bezpečnostného rizika pretrhnutia nosných prostriedkov</w:t>
            </w:r>
          </w:p>
          <w:p w:rsidR="00DD3D48" w:rsidRPr="00996327" w:rsidRDefault="00DD3D48" w:rsidP="0029515D">
            <w:pPr>
              <w:pStyle w:val="NumberList"/>
              <w:ind w:left="0"/>
              <w:rPr>
                <w:rFonts w:ascii="Calibri" w:eastAsia="Calibri" w:hAnsi="Calibri" w:cs="Calibri"/>
                <w:b w:val="0"/>
                <w:bCs/>
                <w:sz w:val="22"/>
                <w:szCs w:val="22"/>
                <w:lang w:val="sk-SK"/>
              </w:rPr>
            </w:pPr>
            <w:r w:rsidRPr="00996327">
              <w:rPr>
                <w:rFonts w:ascii="Calibri" w:eastAsia="Calibri" w:hAnsi="Calibri" w:cs="Calibri"/>
                <w:b w:val="0"/>
                <w:bCs/>
                <w:sz w:val="22"/>
                <w:szCs w:val="22"/>
                <w:lang w:val="sk-SK"/>
              </w:rPr>
              <w:t>-úspora nákladov na periodické výmeny – mení sa až po skutočne elektronicky zmeranom opotrebení)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</w:tr>
      <w:tr w:rsidR="00DD3D48" w:rsidRPr="00996327" w:rsidTr="0029515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48" w:rsidRPr="00996327" w:rsidRDefault="00DD3D48" w:rsidP="0029515D">
            <w:pPr>
              <w:pStyle w:val="NumberList"/>
              <w:ind w:left="0"/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</w:pPr>
            <w:r w:rsidRPr="00996327"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  <w:t>Výťahy budú využívať frekvenčný menič na riadenie pohonu</w:t>
            </w:r>
          </w:p>
          <w:p w:rsidR="00DD3D48" w:rsidRPr="00996327" w:rsidRDefault="00DD3D48" w:rsidP="0029515D">
            <w:pPr>
              <w:pStyle w:val="NumberList"/>
              <w:ind w:left="0"/>
              <w:rPr>
                <w:rFonts w:ascii="Calibri" w:eastAsia="Calibri" w:hAnsi="Calibri" w:cs="Calibri"/>
                <w:b w:val="0"/>
                <w:bCs/>
                <w:sz w:val="22"/>
                <w:szCs w:val="22"/>
                <w:lang w:val="sk-SK"/>
              </w:rPr>
            </w:pPr>
            <w:r w:rsidRPr="00996327">
              <w:rPr>
                <w:rFonts w:ascii="Calibri" w:eastAsia="Calibri" w:hAnsi="Calibri" w:cs="Calibri"/>
                <w:b w:val="0"/>
                <w:bCs/>
                <w:sz w:val="22"/>
                <w:szCs w:val="22"/>
                <w:lang w:val="sk-SK"/>
              </w:rPr>
              <w:t>(-zvýšenie bezpečnosti výťahov elimináciou bezpečnostného rizika pretrhnutia nosných prostriedkov</w:t>
            </w:r>
          </w:p>
          <w:p w:rsidR="00DD3D48" w:rsidRPr="00996327" w:rsidRDefault="00DD3D48" w:rsidP="0029515D">
            <w:pPr>
              <w:pStyle w:val="NumberList"/>
              <w:ind w:left="0"/>
              <w:rPr>
                <w:rFonts w:ascii="Calibri" w:eastAsia="Calibri" w:hAnsi="Calibri" w:cs="Calibri"/>
                <w:b w:val="0"/>
                <w:bCs/>
                <w:sz w:val="22"/>
                <w:szCs w:val="22"/>
                <w:lang w:val="sk-SK"/>
              </w:rPr>
            </w:pPr>
            <w:r w:rsidRPr="00996327">
              <w:rPr>
                <w:rFonts w:ascii="Calibri" w:eastAsia="Calibri" w:hAnsi="Calibri" w:cs="Calibri"/>
                <w:b w:val="0"/>
                <w:bCs/>
                <w:sz w:val="22"/>
                <w:szCs w:val="22"/>
                <w:lang w:val="sk-SK"/>
              </w:rPr>
              <w:t>-úspora nákladov na periodické výmeny – mení sa až po skutočne elektronicky zmeranom opotrebení)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</w:tr>
      <w:tr w:rsidR="00DD3D48" w:rsidRPr="00996327" w:rsidTr="0029515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48" w:rsidRPr="00996327" w:rsidRDefault="00DD3D48" w:rsidP="0029515D">
            <w:pPr>
              <w:pStyle w:val="NumberList"/>
              <w:ind w:left="0"/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</w:pPr>
            <w:r w:rsidRPr="00996327"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  <w:t xml:space="preserve">Výťahy musia byť vybavené rekuperáciou </w:t>
            </w:r>
          </w:p>
          <w:p w:rsidR="00DD3D48" w:rsidRPr="00996327" w:rsidRDefault="00DD3D48" w:rsidP="0029515D">
            <w:pPr>
              <w:pStyle w:val="NumberList"/>
              <w:ind w:left="0"/>
              <w:rPr>
                <w:rFonts w:ascii="Calibri" w:eastAsia="Calibri" w:hAnsi="Calibri" w:cs="Calibri"/>
                <w:b w:val="0"/>
                <w:bCs/>
                <w:sz w:val="22"/>
                <w:szCs w:val="22"/>
                <w:lang w:val="sk-SK"/>
              </w:rPr>
            </w:pPr>
            <w:r w:rsidRPr="00996327">
              <w:rPr>
                <w:rFonts w:ascii="Calibri" w:eastAsia="Calibri" w:hAnsi="Calibri" w:cs="Calibri"/>
                <w:b w:val="0"/>
                <w:bCs/>
                <w:sz w:val="22"/>
                <w:szCs w:val="22"/>
                <w:lang w:val="sk-SK"/>
              </w:rPr>
              <w:t>(úspora elektrickej energie, ochrana životného prostredia a ekologická prevádzka)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</w:tr>
      <w:tr w:rsidR="00DD3D48" w:rsidRPr="00996327" w:rsidTr="0029515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48" w:rsidRPr="00996327" w:rsidRDefault="00DD3D48" w:rsidP="0029515D">
            <w:pPr>
              <w:pStyle w:val="NumberList"/>
              <w:ind w:left="0"/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</w:pPr>
            <w:r w:rsidRPr="00996327"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  <w:t>Výťahy musia využívať osvetlenie LED</w:t>
            </w:r>
          </w:p>
          <w:p w:rsidR="00DD3D48" w:rsidRPr="00996327" w:rsidRDefault="00DD3D48" w:rsidP="0029515D">
            <w:pPr>
              <w:pStyle w:val="NumberList"/>
              <w:ind w:left="0"/>
              <w:rPr>
                <w:rFonts w:ascii="Calibri" w:eastAsia="Calibri" w:hAnsi="Calibri" w:cs="Calibri"/>
                <w:b w:val="0"/>
                <w:bCs/>
                <w:sz w:val="22"/>
                <w:szCs w:val="22"/>
              </w:rPr>
            </w:pPr>
            <w:r w:rsidRPr="00996327">
              <w:rPr>
                <w:rFonts w:ascii="Calibri" w:eastAsia="Calibri" w:hAnsi="Calibri" w:cs="Calibri"/>
                <w:b w:val="0"/>
                <w:bCs/>
                <w:sz w:val="22"/>
                <w:szCs w:val="22"/>
                <w:lang w:val="sk-SK"/>
              </w:rPr>
              <w:t xml:space="preserve">(úspora elektrickej energie, úspora nákladov na údržbu, </w:t>
            </w:r>
            <w:r w:rsidRPr="00996327">
              <w:rPr>
                <w:rFonts w:ascii="Calibri" w:eastAsia="Calibri" w:hAnsi="Calibri" w:cs="Calibri"/>
                <w:b w:val="0"/>
                <w:bCs/>
                <w:sz w:val="22"/>
                <w:szCs w:val="22"/>
              </w:rPr>
              <w:t xml:space="preserve">ochrana životného </w:t>
            </w:r>
            <w:proofErr w:type="spellStart"/>
            <w:r w:rsidRPr="00996327">
              <w:rPr>
                <w:rFonts w:ascii="Calibri" w:eastAsia="Calibri" w:hAnsi="Calibri" w:cs="Calibri"/>
                <w:b w:val="0"/>
                <w:bCs/>
                <w:sz w:val="22"/>
                <w:szCs w:val="22"/>
              </w:rPr>
              <w:t>prostredia</w:t>
            </w:r>
            <w:proofErr w:type="spellEnd"/>
            <w:r w:rsidRPr="00996327">
              <w:rPr>
                <w:rFonts w:ascii="Calibri" w:eastAsia="Calibri" w:hAnsi="Calibri" w:cs="Calibri"/>
                <w:b w:val="0"/>
                <w:bCs/>
                <w:sz w:val="22"/>
                <w:szCs w:val="22"/>
              </w:rPr>
              <w:t xml:space="preserve"> a ekologická </w:t>
            </w:r>
            <w:proofErr w:type="spellStart"/>
            <w:r w:rsidRPr="00996327">
              <w:rPr>
                <w:rFonts w:ascii="Calibri" w:eastAsia="Calibri" w:hAnsi="Calibri" w:cs="Calibri"/>
                <w:b w:val="0"/>
                <w:bCs/>
                <w:sz w:val="22"/>
                <w:szCs w:val="22"/>
              </w:rPr>
              <w:t>prevádzka</w:t>
            </w:r>
            <w:proofErr w:type="spellEnd"/>
            <w:r w:rsidRPr="00996327">
              <w:rPr>
                <w:rFonts w:ascii="Calibri" w:eastAsia="Calibri" w:hAnsi="Calibri" w:cs="Calibri"/>
                <w:b w:val="0"/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</w:tr>
      <w:tr w:rsidR="00DD3D48" w:rsidRPr="00996327" w:rsidTr="0029515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48" w:rsidRPr="00996327" w:rsidRDefault="00DD3D48" w:rsidP="0029515D">
            <w:pPr>
              <w:pStyle w:val="NumberList"/>
              <w:ind w:left="0"/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</w:pPr>
            <w:r w:rsidRPr="00996327"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  <w:t>Výťahy budú vybavené batériovým dojazdom</w:t>
            </w:r>
          </w:p>
          <w:p w:rsidR="00DD3D48" w:rsidRPr="00996327" w:rsidRDefault="00DD3D48" w:rsidP="0029515D">
            <w:pPr>
              <w:pStyle w:val="NumberList"/>
              <w:ind w:left="0"/>
              <w:rPr>
                <w:rFonts w:ascii="Calibri" w:eastAsia="Calibri" w:hAnsi="Calibri" w:cs="Calibri"/>
                <w:b w:val="0"/>
                <w:bCs/>
                <w:sz w:val="22"/>
                <w:szCs w:val="22"/>
                <w:lang w:val="sk-SK"/>
              </w:rPr>
            </w:pPr>
            <w:r w:rsidRPr="00996327">
              <w:rPr>
                <w:rFonts w:ascii="Calibri" w:eastAsia="Calibri" w:hAnsi="Calibri" w:cs="Calibri"/>
                <w:b w:val="0"/>
                <w:bCs/>
                <w:sz w:val="22"/>
                <w:szCs w:val="22"/>
                <w:lang w:val="sk-SK"/>
              </w:rPr>
              <w:t>(v prípade výpadku elektrického prúdu musí mať výťah schopnosť dôjsť do najbližšej stanice)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</w:tr>
      <w:tr w:rsidR="00DD3D48" w:rsidRPr="00996327" w:rsidTr="0029515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48" w:rsidRPr="00996327" w:rsidRDefault="00DD3D48" w:rsidP="0029515D">
            <w:pPr>
              <w:pStyle w:val="NumberList"/>
              <w:ind w:left="0"/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</w:pPr>
            <w:r w:rsidRPr="00996327"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  <w:t xml:space="preserve">Výťahy musia byť vyrobené resp. výrobca výťahov musí byť certifikovaný podľa systému riadenia kvality ISO9001, </w:t>
            </w:r>
            <w:proofErr w:type="spellStart"/>
            <w:r w:rsidRPr="00996327"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  <w:t>enviromentu</w:t>
            </w:r>
            <w:proofErr w:type="spellEnd"/>
            <w:r w:rsidRPr="00996327">
              <w:rPr>
                <w:rFonts w:ascii="Calibri" w:eastAsia="Calibri" w:hAnsi="Calibri" w:cs="Calibri"/>
                <w:bCs/>
                <w:sz w:val="22"/>
                <w:szCs w:val="22"/>
                <w:lang w:val="sk-SK"/>
              </w:rPr>
              <w:t xml:space="preserve"> ISO14001 a bezpečnosti OHSAS18001</w:t>
            </w:r>
          </w:p>
          <w:p w:rsidR="00DD3D48" w:rsidRPr="00996327" w:rsidRDefault="00DD3D48" w:rsidP="0029515D">
            <w:pPr>
              <w:pStyle w:val="NumberList"/>
              <w:ind w:left="0"/>
              <w:rPr>
                <w:rFonts w:ascii="Calibri" w:eastAsia="Calibri" w:hAnsi="Calibri" w:cs="Calibri"/>
                <w:b w:val="0"/>
                <w:bCs/>
                <w:sz w:val="22"/>
                <w:szCs w:val="22"/>
                <w:lang w:val="sk-SK"/>
              </w:rPr>
            </w:pPr>
            <w:r w:rsidRPr="00996327">
              <w:rPr>
                <w:rFonts w:ascii="Calibri" w:eastAsia="Calibri" w:hAnsi="Calibri" w:cs="Calibri"/>
                <w:b w:val="0"/>
                <w:bCs/>
                <w:sz w:val="22"/>
                <w:szCs w:val="22"/>
                <w:lang w:val="sk-SK"/>
              </w:rPr>
              <w:t>(Zabezpečenie kvality, ochrany životného prostredia a bezpečnosti práce na požadovanej úrovni)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48" w:rsidRPr="00996327" w:rsidRDefault="00DD3D48" w:rsidP="0029515D">
            <w:pPr>
              <w:rPr>
                <w:rFonts w:ascii="Calibri" w:eastAsia="Calibri" w:hAnsi="Calibri" w:cs="Calibri"/>
                <w:sz w:val="22"/>
                <w:szCs w:val="22"/>
                <w:lang w:val="en-US" w:eastAsia="x-none"/>
              </w:rPr>
            </w:pPr>
          </w:p>
        </w:tc>
      </w:tr>
    </w:tbl>
    <w:p w:rsidR="00DD3D48" w:rsidRDefault="00DD3D48" w:rsidP="00DD3D48">
      <w:pPr>
        <w:tabs>
          <w:tab w:val="left" w:pos="567"/>
        </w:tabs>
        <w:ind w:left="284"/>
        <w:jc w:val="both"/>
        <w:rPr>
          <w:rFonts w:ascii="Calibri" w:eastAsia="MS Mincho" w:hAnsi="Calibri" w:cs="Calibri"/>
          <w:b/>
          <w:sz w:val="22"/>
          <w:szCs w:val="22"/>
          <w:highlight w:val="yellow"/>
          <w:lang w:eastAsia="cs-CZ"/>
        </w:rPr>
      </w:pPr>
    </w:p>
    <w:p w:rsidR="00DD3D48" w:rsidRDefault="00DD3D48" w:rsidP="00DD3D48">
      <w:pPr>
        <w:tabs>
          <w:tab w:val="left" w:pos="567"/>
        </w:tabs>
        <w:ind w:left="284"/>
        <w:jc w:val="both"/>
        <w:rPr>
          <w:rFonts w:ascii="Calibri" w:eastAsia="MS Mincho" w:hAnsi="Calibri" w:cs="Calibri"/>
          <w:b/>
          <w:sz w:val="22"/>
          <w:szCs w:val="22"/>
          <w:highlight w:val="yellow"/>
          <w:lang w:eastAsia="cs-CZ"/>
        </w:rPr>
      </w:pPr>
    </w:p>
    <w:p w:rsidR="00DD3D48" w:rsidRDefault="00DD3D48" w:rsidP="00DD3D48">
      <w:pPr>
        <w:tabs>
          <w:tab w:val="left" w:pos="567"/>
        </w:tabs>
        <w:ind w:left="284"/>
        <w:jc w:val="both"/>
        <w:rPr>
          <w:rFonts w:ascii="Calibri" w:eastAsia="MS Mincho" w:hAnsi="Calibri" w:cs="Calibri"/>
          <w:b/>
          <w:sz w:val="22"/>
          <w:szCs w:val="22"/>
          <w:highlight w:val="yellow"/>
          <w:lang w:eastAsia="cs-CZ"/>
        </w:rPr>
      </w:pPr>
    </w:p>
    <w:p w:rsidR="00DD3D48" w:rsidRPr="00996327" w:rsidRDefault="00DD3D48" w:rsidP="00DD3D48">
      <w:pPr>
        <w:tabs>
          <w:tab w:val="left" w:pos="567"/>
        </w:tabs>
        <w:ind w:left="284"/>
        <w:jc w:val="both"/>
        <w:rPr>
          <w:rFonts w:ascii="Calibri" w:eastAsia="MS Mincho" w:hAnsi="Calibri" w:cs="Calibri"/>
          <w:b/>
          <w:sz w:val="22"/>
          <w:szCs w:val="22"/>
          <w:highlight w:val="yellow"/>
          <w:lang w:eastAsia="cs-CZ"/>
        </w:rPr>
      </w:pPr>
    </w:p>
    <w:tbl>
      <w:tblPr>
        <w:tblW w:w="9675" w:type="dxa"/>
        <w:tblInd w:w="1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5"/>
      </w:tblGrid>
      <w:tr w:rsidR="00DD3D48" w:rsidRPr="00996327" w:rsidTr="0029515D">
        <w:trPr>
          <w:trHeight w:val="68"/>
        </w:trPr>
        <w:tc>
          <w:tcPr>
            <w:tcW w:w="9675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DD3D48" w:rsidRPr="00996327" w:rsidRDefault="00DD3D48" w:rsidP="0029515D">
            <w:pPr>
              <w:spacing w:line="256" w:lineRule="auto"/>
              <w:ind w:left="450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3D48" w:rsidRPr="00996327" w:rsidTr="0029515D">
        <w:tc>
          <w:tcPr>
            <w:tcW w:w="9675" w:type="dxa"/>
            <w:tcBorders>
              <w:top w:val="single" w:sz="4" w:space="0" w:color="808080"/>
              <w:left w:val="nil"/>
              <w:bottom w:val="nil"/>
              <w:right w:val="nil"/>
            </w:tcBorders>
            <w:vAlign w:val="bottom"/>
            <w:hideMark/>
          </w:tcPr>
          <w:p w:rsidR="00DD3D48" w:rsidRDefault="00DD3D48" w:rsidP="00DD3D4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(Podpis podľa bodu 12.4 čast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u w:val="single"/>
              </w:rPr>
              <w:t>i A. Pokyny pre uchádzačov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 xml:space="preserve"> súťažných podkladov.)</w:t>
            </w:r>
          </w:p>
          <w:p w:rsidR="00DD3D48" w:rsidRPr="00996327" w:rsidRDefault="00DD3D48" w:rsidP="0029515D">
            <w:pPr>
              <w:spacing w:line="25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</w:tbl>
    <w:p w:rsidR="005F68D2" w:rsidRDefault="00DD3D48"/>
    <w:sectPr w:rsidR="005F68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D48" w:rsidRDefault="00DD3D48" w:rsidP="00DD3D48">
      <w:r>
        <w:separator/>
      </w:r>
    </w:p>
  </w:endnote>
  <w:endnote w:type="continuationSeparator" w:id="0">
    <w:p w:rsidR="00DD3D48" w:rsidRDefault="00DD3D48" w:rsidP="00DD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pani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D48" w:rsidRDefault="00DD3D4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D48" w:rsidRDefault="00DD3D4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D48" w:rsidRDefault="00DD3D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D48" w:rsidRDefault="00DD3D48" w:rsidP="00DD3D48">
      <w:r>
        <w:separator/>
      </w:r>
    </w:p>
  </w:footnote>
  <w:footnote w:type="continuationSeparator" w:id="0">
    <w:p w:rsidR="00DD3D48" w:rsidRDefault="00DD3D48" w:rsidP="00DD3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D48" w:rsidRDefault="00DD3D4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D48" w:rsidRPr="00DD3D48" w:rsidRDefault="00DD3D48" w:rsidP="00DD3D48">
    <w:pPr>
      <w:rPr>
        <w:rFonts w:ascii="Calibri" w:hAnsi="Calibri" w:cs="Calibri"/>
        <w:i/>
        <w:sz w:val="22"/>
        <w:szCs w:val="22"/>
      </w:rPr>
    </w:pPr>
    <w:r w:rsidRPr="00996327">
      <w:rPr>
        <w:rFonts w:ascii="Calibri" w:eastAsia="Arial" w:hAnsi="Calibri" w:cs="Calibri"/>
        <w:sz w:val="22"/>
        <w:szCs w:val="22"/>
      </w:rPr>
      <w:t> </w:t>
    </w:r>
    <w:r>
      <w:rPr>
        <w:rFonts w:ascii="Calibri" w:eastAsia="Arial" w:hAnsi="Calibri" w:cs="Calibri"/>
        <w:sz w:val="22"/>
        <w:szCs w:val="22"/>
      </w:rPr>
      <w:tab/>
    </w:r>
    <w:r>
      <w:rPr>
        <w:rFonts w:ascii="Calibri" w:eastAsia="Arial" w:hAnsi="Calibri" w:cs="Calibri"/>
        <w:sz w:val="22"/>
        <w:szCs w:val="22"/>
      </w:rPr>
      <w:tab/>
    </w:r>
    <w:r>
      <w:rPr>
        <w:rFonts w:ascii="Calibri" w:eastAsia="Arial" w:hAnsi="Calibri" w:cs="Calibri"/>
        <w:sz w:val="22"/>
        <w:szCs w:val="22"/>
      </w:rPr>
      <w:tab/>
    </w:r>
    <w:r>
      <w:rPr>
        <w:rFonts w:ascii="Calibri" w:eastAsia="Arial" w:hAnsi="Calibri" w:cs="Calibri"/>
        <w:sz w:val="22"/>
        <w:szCs w:val="22"/>
      </w:rPr>
      <w:tab/>
    </w:r>
    <w:r>
      <w:rPr>
        <w:rFonts w:ascii="Calibri" w:eastAsia="Arial" w:hAnsi="Calibri" w:cs="Calibri"/>
        <w:sz w:val="22"/>
        <w:szCs w:val="22"/>
      </w:rPr>
      <w:tab/>
    </w:r>
    <w:r>
      <w:rPr>
        <w:rFonts w:ascii="Calibri" w:eastAsia="Arial" w:hAnsi="Calibri" w:cs="Calibri"/>
        <w:sz w:val="22"/>
        <w:szCs w:val="22"/>
      </w:rPr>
      <w:tab/>
    </w:r>
    <w:r>
      <w:rPr>
        <w:rFonts w:ascii="Calibri" w:eastAsia="Arial" w:hAnsi="Calibri" w:cs="Calibri"/>
        <w:sz w:val="22"/>
        <w:szCs w:val="22"/>
      </w:rPr>
      <w:tab/>
    </w:r>
    <w:r>
      <w:rPr>
        <w:rFonts w:ascii="Calibri" w:eastAsia="Arial" w:hAnsi="Calibri" w:cs="Calibri"/>
        <w:sz w:val="22"/>
        <w:szCs w:val="22"/>
      </w:rPr>
      <w:tab/>
    </w:r>
    <w:r>
      <w:rPr>
        <w:rFonts w:ascii="Calibri" w:eastAsia="Arial" w:hAnsi="Calibri" w:cs="Calibri"/>
        <w:sz w:val="22"/>
        <w:szCs w:val="22"/>
      </w:rPr>
      <w:tab/>
    </w:r>
    <w:r>
      <w:rPr>
        <w:rFonts w:ascii="Calibri" w:eastAsia="Arial" w:hAnsi="Calibri" w:cs="Calibri"/>
        <w:sz w:val="22"/>
        <w:szCs w:val="22"/>
      </w:rPr>
      <w:tab/>
    </w:r>
    <w:r>
      <w:rPr>
        <w:rFonts w:ascii="Calibri" w:eastAsia="Arial" w:hAnsi="Calibri" w:cs="Calibri"/>
        <w:sz w:val="22"/>
        <w:szCs w:val="22"/>
      </w:rPr>
      <w:tab/>
    </w:r>
    <w:bookmarkStart w:id="0" w:name="_GoBack"/>
    <w:bookmarkEnd w:id="0"/>
    <w:r w:rsidRPr="00DD3D48">
      <w:rPr>
        <w:rFonts w:ascii="Calibri" w:hAnsi="Calibri" w:cs="Calibri"/>
        <w:i/>
        <w:sz w:val="22"/>
        <w:szCs w:val="22"/>
        <w:lang w:val="x-none"/>
      </w:rPr>
      <w:t xml:space="preserve">Príloha </w:t>
    </w:r>
    <w:r w:rsidRPr="00DD3D48">
      <w:rPr>
        <w:rFonts w:ascii="Calibri" w:hAnsi="Calibri" w:cs="Calibri"/>
        <w:i/>
        <w:sz w:val="22"/>
        <w:szCs w:val="22"/>
      </w:rPr>
      <w:t>4</w:t>
    </w:r>
  </w:p>
  <w:p w:rsidR="00DD3D48" w:rsidRDefault="00DD3D4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D48" w:rsidRDefault="00DD3D4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48"/>
    <w:rsid w:val="00B6725E"/>
    <w:rsid w:val="00DD3D48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2559D2"/>
  <w15:chartTrackingRefBased/>
  <w15:docId w15:val="{56BD586D-B267-4C55-95A9-0DC61543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D3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umberList">
    <w:name w:val="Number List"/>
    <w:rsid w:val="00DD3D48"/>
    <w:pPr>
      <w:widowControl w:val="0"/>
      <w:snapToGrid w:val="0"/>
      <w:spacing w:after="0" w:line="240" w:lineRule="auto"/>
      <w:ind w:left="686"/>
    </w:pPr>
    <w:rPr>
      <w:rFonts w:ascii="Timpani" w:eastAsia="Times New Roman" w:hAnsi="Timpani" w:cs="Times New Roman"/>
      <w:b/>
      <w:color w:val="000000"/>
      <w:sz w:val="72"/>
      <w:szCs w:val="20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DD3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3D4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D3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3D4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5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una6500</dc:creator>
  <cp:keywords/>
  <dc:description/>
  <cp:lastModifiedBy>una6500</cp:lastModifiedBy>
  <cp:revision>1</cp:revision>
  <dcterms:created xsi:type="dcterms:W3CDTF">2022-11-03T13:09:00Z</dcterms:created>
  <dcterms:modified xsi:type="dcterms:W3CDTF">2022-11-03T13:16:00Z</dcterms:modified>
</cp:coreProperties>
</file>