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86F" w:rsidRPr="001F0B87" w:rsidRDefault="0018686F" w:rsidP="0018686F">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rsidR="0018686F" w:rsidRPr="00304661" w:rsidRDefault="0018686F" w:rsidP="0018686F">
      <w:pPr>
        <w:widowControl w:val="0"/>
        <w:autoSpaceDE w:val="0"/>
        <w:autoSpaceDN w:val="0"/>
        <w:adjustRightInd w:val="0"/>
        <w:jc w:val="center"/>
        <w:rPr>
          <w:rFonts w:ascii="Arial Narrow" w:hAnsi="Arial Narrow"/>
          <w:b/>
        </w:rPr>
      </w:pPr>
    </w:p>
    <w:p w:rsidR="0018686F" w:rsidRPr="00304661" w:rsidRDefault="0018686F" w:rsidP="0018686F">
      <w:pPr>
        <w:jc w:val="center"/>
        <w:rPr>
          <w:rFonts w:ascii="Arial Narrow" w:hAnsi="Arial Narrow"/>
          <w:b/>
          <w:sz w:val="28"/>
          <w:szCs w:val="28"/>
        </w:rPr>
      </w:pPr>
      <w:r w:rsidRPr="00304661">
        <w:rPr>
          <w:rFonts w:ascii="Arial Narrow" w:hAnsi="Arial Narrow"/>
          <w:b/>
          <w:sz w:val="28"/>
          <w:szCs w:val="28"/>
        </w:rPr>
        <w:t>Opis predmetu zákazky</w:t>
      </w:r>
    </w:p>
    <w:p w:rsidR="0018686F" w:rsidRPr="00304661" w:rsidRDefault="0018686F" w:rsidP="0018686F">
      <w:pPr>
        <w:pStyle w:val="Odsekzoznamu"/>
        <w:ind w:left="360"/>
        <w:jc w:val="both"/>
        <w:rPr>
          <w:rFonts w:ascii="Arial Narrow" w:hAnsi="Arial Narrow"/>
          <w:b/>
          <w:sz w:val="22"/>
          <w:szCs w:val="22"/>
        </w:rPr>
      </w:pPr>
    </w:p>
    <w:p w:rsidR="0018686F" w:rsidRPr="00304661" w:rsidRDefault="0018686F" w:rsidP="0018686F">
      <w:pPr>
        <w:jc w:val="center"/>
        <w:rPr>
          <w:rFonts w:ascii="Arial Narrow" w:hAnsi="Arial Narrow"/>
          <w:b/>
        </w:rPr>
      </w:pPr>
      <w:r>
        <w:rPr>
          <w:rFonts w:ascii="Arial Narrow" w:hAnsi="Arial Narrow"/>
          <w:b/>
        </w:rPr>
        <w:t xml:space="preserve">Revízie ochranných balistický viest </w:t>
      </w:r>
      <w:proofErr w:type="spellStart"/>
      <w:r>
        <w:rPr>
          <w:rFonts w:ascii="Arial Narrow" w:hAnsi="Arial Narrow"/>
          <w:b/>
        </w:rPr>
        <w:t>podkošeľových</w:t>
      </w:r>
      <w:proofErr w:type="spellEnd"/>
    </w:p>
    <w:p w:rsidR="0018686F" w:rsidRPr="00304661" w:rsidRDefault="0018686F" w:rsidP="0018686F">
      <w:pPr>
        <w:jc w:val="center"/>
        <w:rPr>
          <w:rFonts w:ascii="Arial Narrow" w:hAnsi="Arial Narrow"/>
          <w:b/>
          <w:caps/>
        </w:rPr>
      </w:pPr>
    </w:p>
    <w:p w:rsidR="0018686F" w:rsidRPr="00304661" w:rsidRDefault="0018686F" w:rsidP="0018686F">
      <w:pPr>
        <w:jc w:val="center"/>
        <w:rPr>
          <w:rFonts w:ascii="Arial Narrow" w:hAnsi="Arial Narrow"/>
          <w:b/>
          <w:caps/>
        </w:rPr>
      </w:pPr>
      <w:r w:rsidRPr="00304661">
        <w:rPr>
          <w:rFonts w:ascii="Arial Narrow" w:hAnsi="Arial Narrow"/>
          <w:b/>
          <w:caps/>
        </w:rPr>
        <w:t>Predmet zákazky</w:t>
      </w:r>
    </w:p>
    <w:p w:rsidR="0018686F" w:rsidRPr="00304661" w:rsidRDefault="0018686F" w:rsidP="0018686F">
      <w:pPr>
        <w:jc w:val="center"/>
        <w:rPr>
          <w:rFonts w:ascii="Arial Narrow" w:hAnsi="Arial Narrow"/>
          <w:b/>
          <w:caps/>
          <w:sz w:val="22"/>
          <w:szCs w:val="22"/>
        </w:rPr>
      </w:pPr>
    </w:p>
    <w:p w:rsidR="0018686F" w:rsidRPr="00714839" w:rsidRDefault="0018686F" w:rsidP="0018686F">
      <w:pPr>
        <w:pStyle w:val="Odsekzoznamu"/>
        <w:numPr>
          <w:ilvl w:val="0"/>
          <w:numId w:val="6"/>
        </w:numPr>
        <w:jc w:val="both"/>
        <w:rPr>
          <w:rFonts w:ascii="Arial Narrow" w:hAnsi="Arial Narrow"/>
          <w:b/>
          <w:sz w:val="22"/>
          <w:szCs w:val="22"/>
        </w:rPr>
      </w:pPr>
      <w:r w:rsidRPr="00714839">
        <w:rPr>
          <w:rFonts w:ascii="Arial Narrow" w:hAnsi="Arial Narrow"/>
          <w:b/>
          <w:sz w:val="22"/>
          <w:szCs w:val="22"/>
        </w:rPr>
        <w:t>Predmetom zákazky je zabezpečenie:</w:t>
      </w:r>
    </w:p>
    <w:p w:rsidR="00EB5426" w:rsidRPr="00EB5426" w:rsidRDefault="00EB5426" w:rsidP="00714839">
      <w:pPr>
        <w:ind w:firstLine="360"/>
        <w:jc w:val="both"/>
        <w:rPr>
          <w:rFonts w:ascii="Arial Narrow" w:hAnsi="Arial Narrow"/>
          <w:sz w:val="22"/>
          <w:szCs w:val="22"/>
        </w:rPr>
      </w:pPr>
      <w:r w:rsidRPr="00EB5426">
        <w:rPr>
          <w:rFonts w:ascii="Arial Narrow" w:hAnsi="Arial Narrow"/>
          <w:sz w:val="22"/>
          <w:szCs w:val="22"/>
        </w:rPr>
        <w:t xml:space="preserve">Predmetom zákazky je vykonanie revízie ochranných balistických viest </w:t>
      </w:r>
      <w:proofErr w:type="spellStart"/>
      <w:r w:rsidRPr="00EB5426">
        <w:rPr>
          <w:rFonts w:ascii="Arial Narrow" w:hAnsi="Arial Narrow"/>
          <w:sz w:val="22"/>
          <w:szCs w:val="22"/>
        </w:rPr>
        <w:t>podkošeľových</w:t>
      </w:r>
      <w:proofErr w:type="spellEnd"/>
      <w:r w:rsidRPr="00EB5426">
        <w:rPr>
          <w:rFonts w:ascii="Arial Narrow" w:hAnsi="Arial Narrow"/>
          <w:sz w:val="22"/>
          <w:szCs w:val="22"/>
        </w:rPr>
        <w:t xml:space="preserve"> od výrobcu SIOEN ARMOUR TECHNOLOGY Belgicko (ďalej len „ochranná balistická vesta SAT“), výsledkom ktorej je spracovanie konečného protokolu z revízie, ktorým sa predlžuje životnosť revidovaných viest o ďalších 5 rokov pri zachovaní ich ochrannej balistickej funkcie.</w:t>
      </w:r>
    </w:p>
    <w:p w:rsidR="00EB5426" w:rsidRPr="00EB5426" w:rsidRDefault="00EB5426" w:rsidP="00EB5426">
      <w:pPr>
        <w:jc w:val="both"/>
        <w:rPr>
          <w:rFonts w:ascii="Arial Narrow" w:hAnsi="Arial Narrow"/>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1</w:t>
      </w:r>
      <w:r w:rsidR="00EB5426" w:rsidRPr="00EB5426">
        <w:rPr>
          <w:rFonts w:ascii="Arial Narrow" w:hAnsi="Arial Narrow"/>
          <w:b/>
          <w:sz w:val="22"/>
          <w:szCs w:val="22"/>
        </w:rPr>
        <w:t>.1</w:t>
      </w:r>
      <w:r w:rsidR="00EB5426" w:rsidRPr="00EB5426">
        <w:rPr>
          <w:rFonts w:ascii="Arial Narrow" w:hAnsi="Arial Narrow"/>
          <w:b/>
          <w:sz w:val="22"/>
          <w:szCs w:val="22"/>
        </w:rPr>
        <w:tab/>
        <w:t>Všeobecné požiadavky</w:t>
      </w:r>
    </w:p>
    <w:p w:rsidR="00EB5426" w:rsidRPr="00EB5426" w:rsidRDefault="00EB5426" w:rsidP="00EB5426">
      <w:pPr>
        <w:ind w:firstLine="360"/>
        <w:jc w:val="both"/>
        <w:rPr>
          <w:rFonts w:ascii="Arial Narrow" w:hAnsi="Arial Narrow"/>
          <w:b/>
          <w:sz w:val="22"/>
          <w:szCs w:val="22"/>
        </w:rPr>
      </w:pPr>
      <w:r w:rsidRPr="00EB5426">
        <w:rPr>
          <w:rFonts w:ascii="Arial Narrow" w:hAnsi="Arial Narrow"/>
          <w:sz w:val="22"/>
          <w:szCs w:val="22"/>
        </w:rPr>
        <w:t>Podstatou revízie ochranných balistických viest SAT je dôsledná kontrola všetkých súčastí vesty s cieľom vylúčenia akéhokoľvek typu poškodenia, ktoré by mohlo vzniknúť pri manipulácii s vestou, pri jej používaní, ošetrovaní alebo skladovaní a ktoré by následne mohlo potencionálne negatívne ovplyvniť ochrannú funkciu vesty, t. j. ochranu hrudníka a chrbta voči krátkym strelným zbraniam v základnej triede odolnosti III-A podľa US Standard NIJ 0101.04.</w:t>
      </w:r>
    </w:p>
    <w:p w:rsidR="00EB5426" w:rsidRPr="00EB5426" w:rsidRDefault="00EB5426" w:rsidP="00EB5426">
      <w:pPr>
        <w:jc w:val="both"/>
        <w:rPr>
          <w:rFonts w:ascii="Arial Narrow" w:hAnsi="Arial Narrow"/>
          <w:b/>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2</w:t>
      </w:r>
      <w:r w:rsidR="00EB5426" w:rsidRPr="00EB5426">
        <w:rPr>
          <w:rFonts w:ascii="Arial Narrow" w:hAnsi="Arial Narrow"/>
          <w:b/>
          <w:sz w:val="22"/>
          <w:szCs w:val="22"/>
        </w:rPr>
        <w:t>.2</w:t>
      </w:r>
      <w:r w:rsidR="00EB5426" w:rsidRPr="00EB5426">
        <w:rPr>
          <w:rFonts w:ascii="Arial Narrow" w:hAnsi="Arial Narrow"/>
          <w:b/>
          <w:sz w:val="22"/>
          <w:szCs w:val="22"/>
        </w:rPr>
        <w:tab/>
        <w:t>Charakteristika ochranných balistických viest SAT</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Ochranná balistická vesta SAT je určená na nosenie pod civilný odev alebo rovnošatu policajta a zabezpečuje kruhovú ochranu trupu voči strelám z krátkych strelných zbraní a bodným zbraniam v stanovenej triede odolnosti.</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Pozostáva z balistického chrániča hrudníka (predný diel), balistického chrániča chrbta (zadný diel), predného a zadného nosného dielu, spojovacích dielov a prepravného obalu.</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Predný a zadný balistický chránič je vložený v samostatnom uzatvorenom ochrannom obale (vložke) odolnom voči vode a UV žiareniu, ktorý je vložený do predného alebo zadného nosného dielu. Každý balistický chránič je na samostatnom uzatvorenom ochrannom obale označený štítkom, na ktorom je uvedený výrobca balistického materiálu, trieda balistickej odolnosti, mesiac a rok výroby a doba životnosti. Balistické chrániče sa do nosných dielov vkladajú zo spodnej časti predného a zadného nosného dielu cez našitý pevný zips.</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Predný a zadný nosný diel sú z vonkajšej strany vyrobené z elastického materiálu zabraňujúci zatrhávaniu. Vnútorná strana predného a zadného nosného dielu je z antibakteriálneho mäkkého priedušného materiálu zabezpečujúci dostatočnú ventiláciu vzduchu pod vestou, odvod tepla, odvod potu a rýchlu absorpciu potu do ďalšej vrstvy podšívky.</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Predný a zadný nosný diel sú vzájomne spojené v oblasti ramien pomocou suchého zipsu a to tak, že zadný nosný diel je preložený smerom dopredu. V oblasti pásu je zadný nosný diel upevnený pomocou dvoch pružných pásov na každej strane v spodnej časti predného nosného dielu prostredníctvom suchého zipsu s vlasom. Predný nosný diel prekrýva po stranách zadný nosný diel z vonkajšej strany.</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Ochranná balistická vesta SAT je na prepravu a skladovanie uložená v prepravnom obale, ktorý je v hornej časti opatrený priehľadným vreckom (okienkom) na vloženie štítku s identifikačnými údajmi. Prepravný obal s rukoväťami je uzatvárateľný zipsom a je vyrobený z materiálu odpudzujúci vodu a nečistoty tmavo zelenej farby.</w:t>
      </w:r>
    </w:p>
    <w:p w:rsidR="00EB5426" w:rsidRPr="00EB5426" w:rsidRDefault="00EB5426" w:rsidP="00EB5426">
      <w:pPr>
        <w:jc w:val="both"/>
        <w:rPr>
          <w:rFonts w:ascii="Arial Narrow" w:hAnsi="Arial Narrow"/>
          <w:sz w:val="22"/>
          <w:szCs w:val="22"/>
        </w:rPr>
      </w:pPr>
    </w:p>
    <w:p w:rsidR="00EB5426" w:rsidRPr="00EB5426" w:rsidRDefault="00714839" w:rsidP="00EB5426">
      <w:pPr>
        <w:overflowPunct w:val="0"/>
        <w:autoSpaceDE w:val="0"/>
        <w:autoSpaceDN w:val="0"/>
        <w:adjustRightInd w:val="0"/>
        <w:spacing w:after="240" w:line="240" w:lineRule="atLeast"/>
        <w:jc w:val="both"/>
        <w:textAlignment w:val="baseline"/>
        <w:rPr>
          <w:rFonts w:ascii="Arial Narrow" w:eastAsia="SimSun" w:hAnsi="Arial Narrow"/>
          <w:b/>
          <w:bCs/>
          <w:sz w:val="22"/>
          <w:szCs w:val="22"/>
          <w:lang w:eastAsia="cs-CZ"/>
        </w:rPr>
      </w:pPr>
      <w:r>
        <w:rPr>
          <w:rFonts w:ascii="Arial Narrow" w:eastAsia="SimSun" w:hAnsi="Arial Narrow"/>
          <w:b/>
          <w:bCs/>
          <w:sz w:val="22"/>
          <w:szCs w:val="22"/>
          <w:lang w:eastAsia="cs-CZ"/>
        </w:rPr>
        <w:t>3</w:t>
      </w:r>
      <w:r w:rsidR="00EB5426" w:rsidRPr="00EB5426">
        <w:rPr>
          <w:rFonts w:ascii="Arial Narrow" w:eastAsia="SimSun" w:hAnsi="Arial Narrow"/>
          <w:b/>
          <w:bCs/>
          <w:sz w:val="22"/>
          <w:szCs w:val="22"/>
          <w:lang w:eastAsia="cs-CZ"/>
        </w:rPr>
        <w:t>.3.</w:t>
      </w:r>
      <w:r w:rsidR="00EB5426" w:rsidRPr="00EB5426">
        <w:rPr>
          <w:rFonts w:ascii="Arial Narrow" w:eastAsia="SimSun" w:hAnsi="Arial Narrow"/>
          <w:b/>
          <w:bCs/>
          <w:sz w:val="22"/>
          <w:szCs w:val="22"/>
          <w:lang w:eastAsia="cs-CZ"/>
        </w:rPr>
        <w:tab/>
      </w:r>
      <w:r w:rsidR="00EB5426" w:rsidRPr="00EB5426">
        <w:rPr>
          <w:rFonts w:ascii="Arial Narrow" w:eastAsia="SimSun" w:hAnsi="Arial Narrow"/>
          <w:b/>
          <w:bCs/>
          <w:sz w:val="22"/>
          <w:szCs w:val="22"/>
          <w:u w:val="single"/>
          <w:lang w:eastAsia="cs-CZ"/>
        </w:rPr>
        <w:t>Takticko-technické parametre</w:t>
      </w:r>
    </w:p>
    <w:p w:rsidR="00EB5426" w:rsidRPr="00EB5426" w:rsidRDefault="00EB5426" w:rsidP="00EB5426">
      <w:pPr>
        <w:widowControl w:val="0"/>
        <w:numPr>
          <w:ilvl w:val="0"/>
          <w:numId w:val="5"/>
        </w:numPr>
        <w:tabs>
          <w:tab w:val="left" w:pos="5387"/>
        </w:tabs>
        <w:suppressAutoHyphens/>
        <w:overflowPunct w:val="0"/>
        <w:autoSpaceDE w:val="0"/>
        <w:autoSpaceDN w:val="0"/>
        <w:adjustRightInd w:val="0"/>
        <w:spacing w:line="240" w:lineRule="atLeast"/>
        <w:ind w:left="567" w:hanging="567"/>
        <w:contextualSpacing/>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t>Trieda balistickej odolnosti</w:t>
      </w:r>
      <w:r w:rsidRPr="00EB5426">
        <w:rPr>
          <w:rFonts w:ascii="Arial Narrow" w:eastAsia="SimSun" w:hAnsi="Arial Narrow"/>
          <w:color w:val="252525"/>
          <w:sz w:val="22"/>
          <w:szCs w:val="22"/>
          <w:shd w:val="clear" w:color="auto" w:fill="FFFFFF"/>
          <w:lang w:eastAsia="cs-CZ"/>
        </w:rPr>
        <w:tab/>
        <w:t>III-A podľa US Standard NIJ 0101.04</w:t>
      </w:r>
    </w:p>
    <w:p w:rsidR="00EB5426" w:rsidRPr="00EB5426" w:rsidRDefault="00EB5426" w:rsidP="00EB5426">
      <w:pPr>
        <w:widowControl w:val="0"/>
        <w:tabs>
          <w:tab w:val="left" w:pos="5387"/>
        </w:tabs>
        <w:suppressAutoHyphens/>
        <w:overflowPunct w:val="0"/>
        <w:autoSpaceDE w:val="0"/>
        <w:autoSpaceDN w:val="0"/>
        <w:adjustRightInd w:val="0"/>
        <w:spacing w:line="240" w:lineRule="atLeast"/>
        <w:contextualSpacing/>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tab/>
        <w:t>(tabuľka č. 1)</w:t>
      </w:r>
    </w:p>
    <w:p w:rsidR="00EB5426" w:rsidRPr="00EB5426" w:rsidRDefault="00EB5426" w:rsidP="00EB5426">
      <w:pPr>
        <w:widowControl w:val="0"/>
        <w:numPr>
          <w:ilvl w:val="0"/>
          <w:numId w:val="5"/>
        </w:numPr>
        <w:tabs>
          <w:tab w:val="left" w:pos="5387"/>
        </w:tabs>
        <w:suppressAutoHyphens/>
        <w:overflowPunct w:val="0"/>
        <w:autoSpaceDE w:val="0"/>
        <w:autoSpaceDN w:val="0"/>
        <w:adjustRightInd w:val="0"/>
        <w:spacing w:line="240" w:lineRule="atLeast"/>
        <w:ind w:left="567" w:hanging="567"/>
        <w:contextualSpacing/>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t>Balistický materiál</w:t>
      </w:r>
      <w:r w:rsidRPr="00EB5426">
        <w:rPr>
          <w:rFonts w:ascii="Arial Narrow" w:eastAsia="SimSun" w:hAnsi="Arial Narrow"/>
          <w:color w:val="252525"/>
          <w:sz w:val="22"/>
          <w:szCs w:val="22"/>
          <w:shd w:val="clear" w:color="auto" w:fill="FFFFFF"/>
          <w:lang w:eastAsia="cs-CZ"/>
        </w:rPr>
        <w:tab/>
      </w:r>
      <w:proofErr w:type="spellStart"/>
      <w:r w:rsidRPr="00EB5426">
        <w:rPr>
          <w:rFonts w:ascii="Arial Narrow" w:eastAsia="SimSun" w:hAnsi="Arial Narrow"/>
          <w:color w:val="252525"/>
          <w:sz w:val="22"/>
          <w:szCs w:val="22"/>
          <w:shd w:val="clear" w:color="auto" w:fill="FFFFFF"/>
          <w:lang w:eastAsia="cs-CZ"/>
        </w:rPr>
        <w:t>Twaron</w:t>
      </w:r>
      <w:proofErr w:type="spellEnd"/>
      <w:r w:rsidRPr="00EB5426">
        <w:rPr>
          <w:rFonts w:ascii="Arial Narrow" w:eastAsia="SimSun" w:hAnsi="Arial Narrow"/>
          <w:color w:val="252525"/>
          <w:sz w:val="22"/>
          <w:szCs w:val="22"/>
          <w:shd w:val="clear" w:color="auto" w:fill="FFFFFF"/>
          <w:lang w:eastAsia="cs-CZ"/>
        </w:rPr>
        <w:t>® 2000</w:t>
      </w:r>
    </w:p>
    <w:p w:rsidR="00EB5426" w:rsidRPr="00EB5426" w:rsidRDefault="00EB5426" w:rsidP="00EB5426">
      <w:pPr>
        <w:widowControl w:val="0"/>
        <w:numPr>
          <w:ilvl w:val="0"/>
          <w:numId w:val="5"/>
        </w:numPr>
        <w:tabs>
          <w:tab w:val="left" w:pos="5387"/>
        </w:tabs>
        <w:suppressAutoHyphens/>
        <w:overflowPunct w:val="0"/>
        <w:autoSpaceDE w:val="0"/>
        <w:autoSpaceDN w:val="0"/>
        <w:adjustRightInd w:val="0"/>
        <w:spacing w:line="240" w:lineRule="atLeast"/>
        <w:ind w:left="567" w:hanging="567"/>
        <w:contextualSpacing/>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t>Rozvinutá plocha mäkkej balistiky</w:t>
      </w:r>
      <w:r w:rsidRPr="00EB5426">
        <w:rPr>
          <w:rFonts w:ascii="Arial Narrow" w:eastAsia="SimSun" w:hAnsi="Arial Narrow"/>
          <w:color w:val="252525"/>
          <w:sz w:val="22"/>
          <w:szCs w:val="22"/>
          <w:shd w:val="clear" w:color="auto" w:fill="FFFFFF"/>
          <w:lang w:eastAsia="cs-CZ"/>
        </w:rPr>
        <w:tab/>
        <w:t>0,350 m² (veľkosť vesty „XL“)</w:t>
      </w:r>
    </w:p>
    <w:p w:rsidR="00EB5426" w:rsidRPr="00EB5426" w:rsidRDefault="00EB5426" w:rsidP="00EB5426">
      <w:pPr>
        <w:widowControl w:val="0"/>
        <w:numPr>
          <w:ilvl w:val="0"/>
          <w:numId w:val="5"/>
        </w:numPr>
        <w:tabs>
          <w:tab w:val="left" w:pos="5387"/>
        </w:tabs>
        <w:suppressAutoHyphens/>
        <w:overflowPunct w:val="0"/>
        <w:autoSpaceDE w:val="0"/>
        <w:autoSpaceDN w:val="0"/>
        <w:adjustRightInd w:val="0"/>
        <w:spacing w:line="240" w:lineRule="atLeast"/>
        <w:ind w:left="567" w:hanging="567"/>
        <w:contextualSpacing/>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t>Hrúbka balistického chrániča</w:t>
      </w:r>
      <w:r w:rsidRPr="00EB5426">
        <w:rPr>
          <w:rFonts w:ascii="Arial Narrow" w:eastAsia="SimSun" w:hAnsi="Arial Narrow"/>
          <w:color w:val="252525"/>
          <w:sz w:val="22"/>
          <w:szCs w:val="22"/>
          <w:shd w:val="clear" w:color="auto" w:fill="FFFFFF"/>
          <w:lang w:eastAsia="cs-CZ"/>
        </w:rPr>
        <w:tab/>
        <w:t>max. 8,5 mm v najhrubšom mieste</w:t>
      </w:r>
    </w:p>
    <w:p w:rsidR="00EB5426" w:rsidRPr="00EB5426" w:rsidRDefault="00EB5426" w:rsidP="00EB5426">
      <w:pPr>
        <w:widowControl w:val="0"/>
        <w:numPr>
          <w:ilvl w:val="0"/>
          <w:numId w:val="5"/>
        </w:numPr>
        <w:tabs>
          <w:tab w:val="left" w:pos="5387"/>
        </w:tabs>
        <w:suppressAutoHyphens/>
        <w:overflowPunct w:val="0"/>
        <w:autoSpaceDE w:val="0"/>
        <w:autoSpaceDN w:val="0"/>
        <w:adjustRightInd w:val="0"/>
        <w:spacing w:line="240" w:lineRule="atLeast"/>
        <w:ind w:left="567" w:hanging="567"/>
        <w:contextualSpacing/>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t>Hmotnosť bez prepravného obalu</w:t>
      </w:r>
      <w:r w:rsidRPr="00EB5426">
        <w:rPr>
          <w:rFonts w:ascii="Arial Narrow" w:eastAsia="SimSun" w:hAnsi="Arial Narrow"/>
          <w:color w:val="252525"/>
          <w:sz w:val="22"/>
          <w:szCs w:val="22"/>
          <w:shd w:val="clear" w:color="auto" w:fill="FFFFFF"/>
          <w:lang w:eastAsia="cs-CZ"/>
        </w:rPr>
        <w:tab/>
        <w:t>max. 2 500 g (veľkosť vesty „XL“)</w:t>
      </w:r>
    </w:p>
    <w:p w:rsidR="00EB5426" w:rsidRPr="00EB5426" w:rsidRDefault="00EB5426" w:rsidP="00EB5426">
      <w:pPr>
        <w:widowControl w:val="0"/>
        <w:numPr>
          <w:ilvl w:val="0"/>
          <w:numId w:val="5"/>
        </w:numPr>
        <w:tabs>
          <w:tab w:val="left" w:pos="5387"/>
        </w:tabs>
        <w:suppressAutoHyphens/>
        <w:overflowPunct w:val="0"/>
        <w:autoSpaceDE w:val="0"/>
        <w:autoSpaceDN w:val="0"/>
        <w:adjustRightInd w:val="0"/>
        <w:spacing w:line="240" w:lineRule="atLeast"/>
        <w:ind w:left="567" w:hanging="567"/>
        <w:contextualSpacing/>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t>Farba</w:t>
      </w:r>
      <w:r w:rsidRPr="00EB5426">
        <w:rPr>
          <w:rFonts w:ascii="Arial Narrow" w:eastAsia="SimSun" w:hAnsi="Arial Narrow"/>
          <w:color w:val="252525"/>
          <w:sz w:val="22"/>
          <w:szCs w:val="22"/>
          <w:shd w:val="clear" w:color="auto" w:fill="FFFFFF"/>
          <w:lang w:eastAsia="cs-CZ"/>
        </w:rPr>
        <w:tab/>
        <w:t>béžová (biela, čierna)</w:t>
      </w:r>
    </w:p>
    <w:p w:rsidR="00EB5426" w:rsidRPr="00EB5426" w:rsidRDefault="00EB5426" w:rsidP="00EB5426">
      <w:pPr>
        <w:widowControl w:val="0"/>
        <w:numPr>
          <w:ilvl w:val="0"/>
          <w:numId w:val="5"/>
        </w:numPr>
        <w:tabs>
          <w:tab w:val="left" w:pos="5387"/>
        </w:tabs>
        <w:suppressAutoHyphens/>
        <w:overflowPunct w:val="0"/>
        <w:autoSpaceDE w:val="0"/>
        <w:autoSpaceDN w:val="0"/>
        <w:adjustRightInd w:val="0"/>
        <w:spacing w:line="240" w:lineRule="atLeast"/>
        <w:ind w:left="567" w:hanging="567"/>
        <w:contextualSpacing/>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t>Veľkostné prevedenie</w:t>
      </w:r>
      <w:r w:rsidRPr="00EB5426">
        <w:rPr>
          <w:rFonts w:ascii="Arial Narrow" w:eastAsia="SimSun" w:hAnsi="Arial Narrow"/>
          <w:color w:val="252525"/>
          <w:sz w:val="22"/>
          <w:szCs w:val="22"/>
          <w:shd w:val="clear" w:color="auto" w:fill="FFFFFF"/>
          <w:lang w:eastAsia="cs-CZ"/>
        </w:rPr>
        <w:tab/>
        <w:t>M, L, XL, XXL a XXXL</w:t>
      </w:r>
    </w:p>
    <w:p w:rsidR="00EB5426" w:rsidRPr="00EB5426" w:rsidRDefault="00EB5426" w:rsidP="00EB5426">
      <w:pPr>
        <w:overflowPunct w:val="0"/>
        <w:autoSpaceDE w:val="0"/>
        <w:autoSpaceDN w:val="0"/>
        <w:adjustRightInd w:val="0"/>
        <w:spacing w:after="240" w:line="240" w:lineRule="atLeast"/>
        <w:jc w:val="both"/>
        <w:textAlignment w:val="baseline"/>
        <w:rPr>
          <w:rFonts w:ascii="Arial Narrow" w:eastAsia="SimSun" w:hAnsi="Arial Narrow"/>
          <w:b/>
          <w:bCs/>
          <w:sz w:val="22"/>
          <w:szCs w:val="22"/>
          <w:lang w:eastAsia="cs-CZ"/>
        </w:rPr>
      </w:pPr>
    </w:p>
    <w:p w:rsidR="00EB5426" w:rsidRPr="00EB5426" w:rsidRDefault="00EB5426" w:rsidP="00EB5426">
      <w:pPr>
        <w:overflowPunct w:val="0"/>
        <w:autoSpaceDE w:val="0"/>
        <w:autoSpaceDN w:val="0"/>
        <w:adjustRightInd w:val="0"/>
        <w:spacing w:line="240" w:lineRule="atLeast"/>
        <w:jc w:val="both"/>
        <w:textAlignment w:val="baseline"/>
        <w:rPr>
          <w:rFonts w:ascii="Arial Narrow" w:eastAsia="SimSun" w:hAnsi="Arial Narrow"/>
          <w:color w:val="252525"/>
          <w:sz w:val="22"/>
          <w:szCs w:val="22"/>
          <w:shd w:val="clear" w:color="auto" w:fill="FFFFFF"/>
          <w:lang w:eastAsia="cs-CZ"/>
        </w:rPr>
      </w:pPr>
      <w:r w:rsidRPr="00EB5426">
        <w:rPr>
          <w:rFonts w:ascii="Arial Narrow" w:eastAsia="SimSun" w:hAnsi="Arial Narrow"/>
          <w:color w:val="252525"/>
          <w:sz w:val="22"/>
          <w:szCs w:val="22"/>
          <w:shd w:val="clear" w:color="auto" w:fill="FFFFFF"/>
          <w:lang w:eastAsia="cs-CZ"/>
        </w:rPr>
        <w:lastRenderedPageBreak/>
        <w:t>Tabuľka č. 1</w:t>
      </w:r>
    </w:p>
    <w:p w:rsidR="00EB5426" w:rsidRPr="00EB5426" w:rsidRDefault="00EB5426" w:rsidP="00EB5426">
      <w:pPr>
        <w:overflowPunct w:val="0"/>
        <w:autoSpaceDE w:val="0"/>
        <w:autoSpaceDN w:val="0"/>
        <w:adjustRightInd w:val="0"/>
        <w:spacing w:line="240" w:lineRule="atLeast"/>
        <w:jc w:val="both"/>
        <w:textAlignment w:val="baseline"/>
        <w:rPr>
          <w:rFonts w:ascii="Arial Narrow" w:eastAsia="SimSun" w:hAnsi="Arial Narrow"/>
          <w:color w:val="252525"/>
          <w:sz w:val="22"/>
          <w:szCs w:val="22"/>
          <w:shd w:val="clear" w:color="auto" w:fill="FFFFFF"/>
          <w:lang w:eastAsia="cs-CZ"/>
        </w:rPr>
      </w:pPr>
    </w:p>
    <w:p w:rsidR="00EB5426" w:rsidRPr="00EB5426" w:rsidRDefault="00EB5426" w:rsidP="00EB5426">
      <w:pPr>
        <w:overflowPunct w:val="0"/>
        <w:autoSpaceDE w:val="0"/>
        <w:autoSpaceDN w:val="0"/>
        <w:adjustRightInd w:val="0"/>
        <w:spacing w:line="240" w:lineRule="atLeast"/>
        <w:jc w:val="both"/>
        <w:textAlignment w:val="baseline"/>
        <w:rPr>
          <w:rFonts w:ascii="Arial Narrow" w:eastAsia="SimSun" w:hAnsi="Arial Narrow"/>
          <w:sz w:val="22"/>
          <w:szCs w:val="22"/>
          <w:shd w:val="clear" w:color="auto" w:fill="FFFFFF"/>
          <w:lang w:eastAsia="cs-CZ"/>
        </w:rPr>
      </w:pPr>
      <w:r w:rsidRPr="00EB5426">
        <w:rPr>
          <w:rFonts w:ascii="Arial Narrow" w:eastAsia="SimSun" w:hAnsi="Arial Narrow"/>
          <w:sz w:val="22"/>
          <w:szCs w:val="22"/>
          <w:shd w:val="clear" w:color="auto" w:fill="FFFFFF"/>
          <w:lang w:eastAsia="cs-CZ"/>
        </w:rPr>
        <w:t xml:space="preserve">Norma balistickej odolnosti - </w:t>
      </w:r>
      <w:r w:rsidRPr="00EB5426">
        <w:rPr>
          <w:rFonts w:ascii="Arial Narrow" w:eastAsia="SimSun" w:hAnsi="Arial Narrow"/>
          <w:color w:val="252525"/>
          <w:sz w:val="22"/>
          <w:szCs w:val="22"/>
          <w:shd w:val="clear" w:color="auto" w:fill="FFFFFF"/>
          <w:lang w:eastAsia="cs-CZ"/>
        </w:rPr>
        <w:t>US Standard NIJ 0101.04</w:t>
      </w:r>
    </w:p>
    <w:tbl>
      <w:tblPr>
        <w:tblW w:w="9490" w:type="dxa"/>
        <w:tblBorders>
          <w:top w:val="outset" w:sz="6" w:space="0" w:color="002A87"/>
          <w:left w:val="outset" w:sz="6" w:space="0" w:color="002A87"/>
          <w:bottom w:val="outset" w:sz="6" w:space="0" w:color="002A87"/>
          <w:right w:val="outset" w:sz="6" w:space="0" w:color="002A87"/>
        </w:tblBorders>
        <w:tblCellMar>
          <w:left w:w="0" w:type="dxa"/>
          <w:right w:w="0" w:type="dxa"/>
        </w:tblCellMar>
        <w:tblLook w:val="04A0" w:firstRow="1" w:lastRow="0" w:firstColumn="1" w:lastColumn="0" w:noHBand="0" w:noVBand="1"/>
      </w:tblPr>
      <w:tblGrid>
        <w:gridCol w:w="985"/>
        <w:gridCol w:w="1275"/>
        <w:gridCol w:w="1843"/>
        <w:gridCol w:w="2693"/>
        <w:gridCol w:w="2694"/>
      </w:tblGrid>
      <w:tr w:rsidR="00EB5426" w:rsidRPr="00EB5426" w:rsidTr="004E71C9">
        <w:tc>
          <w:tcPr>
            <w:tcW w:w="985"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tcPr>
          <w:p w:rsidR="00EB5426" w:rsidRPr="00EB5426" w:rsidRDefault="00EB5426" w:rsidP="004E71C9">
            <w:pPr>
              <w:widowControl w:val="0"/>
              <w:suppressAutoHyphens/>
              <w:autoSpaceDE w:val="0"/>
              <w:autoSpaceDN w:val="0"/>
              <w:adjustRightInd w:val="0"/>
              <w:jc w:val="center"/>
              <w:rPr>
                <w:rFonts w:ascii="Arial Narrow" w:hAnsi="Arial Narrow"/>
                <w:b/>
                <w:sz w:val="22"/>
                <w:szCs w:val="22"/>
              </w:rPr>
            </w:pPr>
            <w:r w:rsidRPr="00EB5426">
              <w:rPr>
                <w:rFonts w:ascii="Arial Narrow" w:hAnsi="Arial Narrow"/>
                <w:b/>
                <w:sz w:val="22"/>
                <w:szCs w:val="22"/>
              </w:rPr>
              <w:t>Trieda</w:t>
            </w:r>
          </w:p>
        </w:tc>
        <w:tc>
          <w:tcPr>
            <w:tcW w:w="1275"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tcPr>
          <w:p w:rsidR="00EB5426" w:rsidRPr="00EB5426" w:rsidRDefault="00EB5426" w:rsidP="004E71C9">
            <w:pPr>
              <w:widowControl w:val="0"/>
              <w:suppressAutoHyphens/>
              <w:autoSpaceDE w:val="0"/>
              <w:autoSpaceDN w:val="0"/>
              <w:adjustRightInd w:val="0"/>
              <w:jc w:val="center"/>
              <w:rPr>
                <w:rFonts w:ascii="Arial Narrow" w:hAnsi="Arial Narrow"/>
                <w:b/>
                <w:sz w:val="22"/>
                <w:szCs w:val="22"/>
              </w:rPr>
            </w:pPr>
            <w:r w:rsidRPr="00EB5426">
              <w:rPr>
                <w:rFonts w:ascii="Arial Narrow" w:hAnsi="Arial Narrow"/>
                <w:b/>
                <w:sz w:val="22"/>
                <w:szCs w:val="22"/>
              </w:rPr>
              <w:t>Náboj</w:t>
            </w:r>
          </w:p>
        </w:tc>
        <w:tc>
          <w:tcPr>
            <w:tcW w:w="1843"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tcPr>
          <w:p w:rsidR="00EB5426" w:rsidRPr="00EB5426" w:rsidRDefault="00EB5426" w:rsidP="004E71C9">
            <w:pPr>
              <w:widowControl w:val="0"/>
              <w:suppressAutoHyphens/>
              <w:autoSpaceDE w:val="0"/>
              <w:autoSpaceDN w:val="0"/>
              <w:adjustRightInd w:val="0"/>
              <w:jc w:val="center"/>
              <w:rPr>
                <w:rFonts w:ascii="Arial Narrow" w:hAnsi="Arial Narrow"/>
                <w:b/>
                <w:sz w:val="22"/>
                <w:szCs w:val="22"/>
              </w:rPr>
            </w:pPr>
            <w:r w:rsidRPr="00EB5426">
              <w:rPr>
                <w:rFonts w:ascii="Arial Narrow" w:hAnsi="Arial Narrow"/>
                <w:b/>
                <w:sz w:val="22"/>
                <w:szCs w:val="22"/>
              </w:rPr>
              <w:t>Hmotnosť strely</w:t>
            </w:r>
          </w:p>
        </w:tc>
        <w:tc>
          <w:tcPr>
            <w:tcW w:w="2693"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tcPr>
          <w:p w:rsidR="00EB5426" w:rsidRPr="00EB5426" w:rsidRDefault="00EB5426" w:rsidP="004E71C9">
            <w:pPr>
              <w:widowControl w:val="0"/>
              <w:suppressAutoHyphens/>
              <w:autoSpaceDE w:val="0"/>
              <w:autoSpaceDN w:val="0"/>
              <w:adjustRightInd w:val="0"/>
              <w:jc w:val="center"/>
              <w:rPr>
                <w:rFonts w:ascii="Arial Narrow" w:hAnsi="Arial Narrow"/>
                <w:b/>
                <w:sz w:val="22"/>
                <w:szCs w:val="22"/>
              </w:rPr>
            </w:pPr>
            <w:r w:rsidRPr="00EB5426">
              <w:rPr>
                <w:rFonts w:ascii="Arial Narrow" w:hAnsi="Arial Narrow"/>
                <w:b/>
                <w:sz w:val="22"/>
                <w:szCs w:val="22"/>
              </w:rPr>
              <w:t>Maximálna rýchlosť strely</w:t>
            </w:r>
          </w:p>
        </w:tc>
        <w:tc>
          <w:tcPr>
            <w:tcW w:w="2694"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tcPr>
          <w:p w:rsidR="00EB5426" w:rsidRPr="00EB5426" w:rsidRDefault="00EB5426" w:rsidP="004E71C9">
            <w:pPr>
              <w:widowControl w:val="0"/>
              <w:suppressAutoHyphens/>
              <w:autoSpaceDE w:val="0"/>
              <w:autoSpaceDN w:val="0"/>
              <w:adjustRightInd w:val="0"/>
              <w:jc w:val="center"/>
              <w:rPr>
                <w:rFonts w:ascii="Arial Narrow" w:hAnsi="Arial Narrow"/>
                <w:b/>
                <w:sz w:val="22"/>
                <w:szCs w:val="22"/>
              </w:rPr>
            </w:pPr>
            <w:r w:rsidRPr="00EB5426">
              <w:rPr>
                <w:rFonts w:ascii="Arial Narrow" w:hAnsi="Arial Narrow"/>
                <w:b/>
                <w:sz w:val="22"/>
                <w:szCs w:val="22"/>
              </w:rPr>
              <w:t>Trauma (hĺbka odtlačku)</w:t>
            </w:r>
          </w:p>
        </w:tc>
      </w:tr>
      <w:tr w:rsidR="00EB5426" w:rsidRPr="00EB5426" w:rsidTr="004E71C9">
        <w:tc>
          <w:tcPr>
            <w:tcW w:w="985" w:type="dxa"/>
            <w:vMerge w:val="restart"/>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III-A</w:t>
            </w:r>
          </w:p>
        </w:tc>
        <w:tc>
          <w:tcPr>
            <w:tcW w:w="1275"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9 mm</w:t>
            </w:r>
            <w:r w:rsidRPr="00EB5426">
              <w:rPr>
                <w:rFonts w:ascii="Arial Narrow" w:hAnsi="Arial Narrow"/>
                <w:sz w:val="22"/>
                <w:szCs w:val="22"/>
              </w:rPr>
              <w:br/>
              <w:t>FMJ RN</w:t>
            </w:r>
          </w:p>
        </w:tc>
        <w:tc>
          <w:tcPr>
            <w:tcW w:w="1843"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8,2 g</w:t>
            </w:r>
            <w:r w:rsidRPr="00EB5426">
              <w:rPr>
                <w:rFonts w:ascii="Arial Narrow" w:hAnsi="Arial Narrow"/>
                <w:sz w:val="22"/>
                <w:szCs w:val="22"/>
              </w:rPr>
              <w:br/>
              <w:t xml:space="preserve">124 </w:t>
            </w:r>
            <w:proofErr w:type="spellStart"/>
            <w:r w:rsidRPr="00EB5426">
              <w:rPr>
                <w:rFonts w:ascii="Arial Narrow" w:hAnsi="Arial Narrow"/>
                <w:sz w:val="22"/>
                <w:szCs w:val="22"/>
              </w:rPr>
              <w:t>gr</w:t>
            </w:r>
            <w:proofErr w:type="spellEnd"/>
          </w:p>
        </w:tc>
        <w:tc>
          <w:tcPr>
            <w:tcW w:w="2693"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 xml:space="preserve">436 m/s (1430 </w:t>
            </w:r>
            <w:proofErr w:type="spellStart"/>
            <w:r w:rsidRPr="00EB5426">
              <w:rPr>
                <w:rFonts w:ascii="Arial Narrow" w:hAnsi="Arial Narrow"/>
                <w:sz w:val="22"/>
                <w:szCs w:val="22"/>
              </w:rPr>
              <w:t>ft</w:t>
            </w:r>
            <w:proofErr w:type="spellEnd"/>
            <w:r w:rsidRPr="00EB5426">
              <w:rPr>
                <w:rFonts w:ascii="Arial Narrow" w:hAnsi="Arial Narrow"/>
                <w:sz w:val="22"/>
                <w:szCs w:val="22"/>
              </w:rPr>
              <w:t>/s)</w:t>
            </w:r>
          </w:p>
        </w:tc>
        <w:tc>
          <w:tcPr>
            <w:tcW w:w="2694"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44 mm</w:t>
            </w:r>
            <w:r w:rsidRPr="00EB5426">
              <w:rPr>
                <w:rFonts w:ascii="Arial Narrow" w:hAnsi="Arial Narrow"/>
                <w:sz w:val="22"/>
                <w:szCs w:val="22"/>
              </w:rPr>
              <w:br/>
              <w:t>(1,73 in)</w:t>
            </w:r>
          </w:p>
        </w:tc>
      </w:tr>
      <w:tr w:rsidR="00EB5426" w:rsidRPr="00EB5426" w:rsidTr="004E71C9">
        <w:tc>
          <w:tcPr>
            <w:tcW w:w="985" w:type="dxa"/>
            <w:vMerge/>
            <w:tcBorders>
              <w:top w:val="outset" w:sz="6" w:space="0" w:color="002A87"/>
              <w:left w:val="outset" w:sz="6" w:space="0" w:color="002A87"/>
              <w:bottom w:val="outset" w:sz="6" w:space="0" w:color="002A87"/>
              <w:right w:val="outset" w:sz="6" w:space="0" w:color="002A87"/>
            </w:tcBorders>
            <w:shd w:val="clear" w:color="auto" w:fill="auto"/>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p>
        </w:tc>
        <w:tc>
          <w:tcPr>
            <w:tcW w:w="1275"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 xml:space="preserve">44 </w:t>
            </w:r>
            <w:proofErr w:type="spellStart"/>
            <w:r w:rsidRPr="00EB5426">
              <w:rPr>
                <w:rFonts w:ascii="Arial Narrow" w:hAnsi="Arial Narrow"/>
                <w:sz w:val="22"/>
                <w:szCs w:val="22"/>
              </w:rPr>
              <w:t>Mag</w:t>
            </w:r>
            <w:proofErr w:type="spellEnd"/>
            <w:r w:rsidRPr="00EB5426">
              <w:rPr>
                <w:rFonts w:ascii="Arial Narrow" w:hAnsi="Arial Narrow"/>
                <w:sz w:val="22"/>
                <w:szCs w:val="22"/>
              </w:rPr>
              <w:t>.</w:t>
            </w:r>
            <w:r w:rsidRPr="00EB5426">
              <w:rPr>
                <w:rFonts w:ascii="Arial Narrow" w:hAnsi="Arial Narrow"/>
                <w:sz w:val="22"/>
                <w:szCs w:val="22"/>
              </w:rPr>
              <w:br/>
              <w:t>SJHP</w:t>
            </w:r>
          </w:p>
        </w:tc>
        <w:tc>
          <w:tcPr>
            <w:tcW w:w="1843"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15,6 g</w:t>
            </w:r>
            <w:r w:rsidRPr="00EB5426">
              <w:rPr>
                <w:rFonts w:ascii="Arial Narrow" w:hAnsi="Arial Narrow"/>
                <w:sz w:val="22"/>
                <w:szCs w:val="22"/>
              </w:rPr>
              <w:br/>
              <w:t xml:space="preserve">240 </w:t>
            </w:r>
            <w:proofErr w:type="spellStart"/>
            <w:r w:rsidRPr="00EB5426">
              <w:rPr>
                <w:rFonts w:ascii="Arial Narrow" w:hAnsi="Arial Narrow"/>
                <w:sz w:val="22"/>
                <w:szCs w:val="22"/>
              </w:rPr>
              <w:t>gr</w:t>
            </w:r>
            <w:proofErr w:type="spellEnd"/>
          </w:p>
        </w:tc>
        <w:tc>
          <w:tcPr>
            <w:tcW w:w="2693"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 xml:space="preserve">436 m/s (1430 </w:t>
            </w:r>
            <w:proofErr w:type="spellStart"/>
            <w:r w:rsidRPr="00EB5426">
              <w:rPr>
                <w:rFonts w:ascii="Arial Narrow" w:hAnsi="Arial Narrow"/>
                <w:sz w:val="22"/>
                <w:szCs w:val="22"/>
              </w:rPr>
              <w:t>ft</w:t>
            </w:r>
            <w:proofErr w:type="spellEnd"/>
            <w:r w:rsidRPr="00EB5426">
              <w:rPr>
                <w:rFonts w:ascii="Arial Narrow" w:hAnsi="Arial Narrow"/>
                <w:sz w:val="22"/>
                <w:szCs w:val="22"/>
              </w:rPr>
              <w:t>/s)</w:t>
            </w:r>
          </w:p>
        </w:tc>
        <w:tc>
          <w:tcPr>
            <w:tcW w:w="2694" w:type="dxa"/>
            <w:tcBorders>
              <w:top w:val="outset" w:sz="6" w:space="0" w:color="002A87"/>
              <w:left w:val="outset" w:sz="6" w:space="0" w:color="002A87"/>
              <w:bottom w:val="outset" w:sz="6" w:space="0" w:color="002A87"/>
              <w:right w:val="outset" w:sz="6" w:space="0" w:color="002A87"/>
            </w:tcBorders>
            <w:shd w:val="clear" w:color="auto" w:fill="auto"/>
            <w:tcMar>
              <w:top w:w="67" w:type="dxa"/>
              <w:left w:w="67" w:type="dxa"/>
              <w:bottom w:w="67" w:type="dxa"/>
              <w:right w:w="67" w:type="dxa"/>
            </w:tcMar>
            <w:vAlign w:val="center"/>
            <w:hideMark/>
          </w:tcPr>
          <w:p w:rsidR="00EB5426" w:rsidRPr="00EB5426" w:rsidRDefault="00EB5426" w:rsidP="004E71C9">
            <w:pPr>
              <w:widowControl w:val="0"/>
              <w:suppressAutoHyphens/>
              <w:autoSpaceDE w:val="0"/>
              <w:autoSpaceDN w:val="0"/>
              <w:adjustRightInd w:val="0"/>
              <w:jc w:val="center"/>
              <w:rPr>
                <w:rFonts w:ascii="Arial Narrow" w:hAnsi="Arial Narrow"/>
                <w:sz w:val="22"/>
                <w:szCs w:val="22"/>
              </w:rPr>
            </w:pPr>
            <w:r w:rsidRPr="00EB5426">
              <w:rPr>
                <w:rFonts w:ascii="Arial Narrow" w:hAnsi="Arial Narrow"/>
                <w:sz w:val="22"/>
                <w:szCs w:val="22"/>
              </w:rPr>
              <w:t>44 mm</w:t>
            </w:r>
            <w:r w:rsidRPr="00EB5426">
              <w:rPr>
                <w:rFonts w:ascii="Arial Narrow" w:hAnsi="Arial Narrow"/>
                <w:sz w:val="22"/>
                <w:szCs w:val="22"/>
              </w:rPr>
              <w:br/>
              <w:t>(1,73 in)</w:t>
            </w:r>
          </w:p>
        </w:tc>
      </w:tr>
    </w:tbl>
    <w:p w:rsidR="00EB5426" w:rsidRPr="00EB5426" w:rsidRDefault="00EB5426" w:rsidP="00EB5426">
      <w:pPr>
        <w:tabs>
          <w:tab w:val="left" w:pos="5103"/>
        </w:tabs>
        <w:overflowPunct w:val="0"/>
        <w:autoSpaceDE w:val="0"/>
        <w:autoSpaceDN w:val="0"/>
        <w:adjustRightInd w:val="0"/>
        <w:spacing w:line="240" w:lineRule="atLeast"/>
        <w:jc w:val="both"/>
        <w:textAlignment w:val="baseline"/>
        <w:rPr>
          <w:rFonts w:ascii="Arial Narrow" w:eastAsia="SimSun" w:hAnsi="Arial Narrow"/>
          <w:color w:val="252525"/>
          <w:sz w:val="22"/>
          <w:szCs w:val="22"/>
          <w:shd w:val="clear" w:color="auto" w:fill="FFFFFF"/>
          <w:lang w:eastAsia="cs-CZ"/>
        </w:rPr>
      </w:pPr>
    </w:p>
    <w:p w:rsidR="00EB5426" w:rsidRPr="00EB5426" w:rsidRDefault="00EB5426" w:rsidP="00EB5426">
      <w:pPr>
        <w:jc w:val="both"/>
        <w:rPr>
          <w:rFonts w:ascii="Arial Narrow" w:hAnsi="Arial Narrow"/>
          <w:b/>
          <w:sz w:val="22"/>
          <w:szCs w:val="22"/>
        </w:rPr>
      </w:pPr>
    </w:p>
    <w:p w:rsidR="00EB5426" w:rsidRPr="00EB5426" w:rsidRDefault="00714839" w:rsidP="00EB5426">
      <w:pPr>
        <w:jc w:val="both"/>
        <w:rPr>
          <w:rFonts w:ascii="Arial Narrow" w:hAnsi="Arial Narrow"/>
          <w:b/>
          <w:sz w:val="22"/>
          <w:szCs w:val="22"/>
          <w:u w:val="single"/>
        </w:rPr>
      </w:pPr>
      <w:r>
        <w:rPr>
          <w:rFonts w:ascii="Arial Narrow" w:hAnsi="Arial Narrow"/>
          <w:b/>
          <w:sz w:val="22"/>
          <w:szCs w:val="22"/>
        </w:rPr>
        <w:t>1</w:t>
      </w:r>
      <w:r w:rsidR="00EB5426" w:rsidRPr="00EB5426">
        <w:rPr>
          <w:rFonts w:ascii="Arial Narrow" w:hAnsi="Arial Narrow"/>
          <w:b/>
          <w:sz w:val="22"/>
          <w:szCs w:val="22"/>
        </w:rPr>
        <w:t>.4.</w:t>
      </w:r>
      <w:r w:rsidR="00EB5426" w:rsidRPr="00EB5426">
        <w:rPr>
          <w:rFonts w:ascii="Arial Narrow" w:hAnsi="Arial Narrow"/>
          <w:b/>
          <w:sz w:val="22"/>
          <w:szCs w:val="22"/>
        </w:rPr>
        <w:tab/>
      </w:r>
      <w:r w:rsidR="00EB5426" w:rsidRPr="00EB5426">
        <w:rPr>
          <w:rFonts w:ascii="Arial Narrow" w:hAnsi="Arial Narrow"/>
          <w:b/>
          <w:sz w:val="22"/>
          <w:szCs w:val="22"/>
          <w:u w:val="single"/>
        </w:rPr>
        <w:t>Požiadavky na revíziu</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Revízia ochranných balistických viest SAT pozostáva z týchto etáp:</w:t>
      </w:r>
    </w:p>
    <w:p w:rsidR="00EB5426" w:rsidRPr="00EB5426" w:rsidRDefault="00EB5426" w:rsidP="00EB5426">
      <w:pPr>
        <w:numPr>
          <w:ilvl w:val="0"/>
          <w:numId w:val="3"/>
        </w:numPr>
        <w:jc w:val="both"/>
        <w:rPr>
          <w:rFonts w:ascii="Arial Narrow" w:hAnsi="Arial Narrow"/>
          <w:sz w:val="22"/>
          <w:szCs w:val="22"/>
        </w:rPr>
      </w:pPr>
      <w:r w:rsidRPr="00EB5426">
        <w:rPr>
          <w:rFonts w:ascii="Arial Narrow" w:hAnsi="Arial Narrow"/>
          <w:sz w:val="22"/>
          <w:szCs w:val="22"/>
        </w:rPr>
        <w:t>vypracovanie dokumentu „Metodika revízie ochranných balistických viest SAT“, ktorá obsahuje:</w:t>
      </w:r>
    </w:p>
    <w:p w:rsidR="00EB5426" w:rsidRPr="00EB5426" w:rsidRDefault="00EB5426" w:rsidP="00EB5426">
      <w:pPr>
        <w:pStyle w:val="Odsekzoznamu"/>
        <w:numPr>
          <w:ilvl w:val="0"/>
          <w:numId w:val="4"/>
        </w:numPr>
        <w:jc w:val="both"/>
        <w:rPr>
          <w:rFonts w:ascii="Arial Narrow" w:hAnsi="Arial Narrow"/>
          <w:sz w:val="22"/>
          <w:szCs w:val="22"/>
        </w:rPr>
      </w:pPr>
      <w:r w:rsidRPr="00EB5426">
        <w:rPr>
          <w:rFonts w:ascii="Arial Narrow" w:hAnsi="Arial Narrow"/>
          <w:sz w:val="22"/>
          <w:szCs w:val="22"/>
        </w:rPr>
        <w:t>vykonanie balistickej skúšky podľa US Standard NIJ 0101.04 na triedu balistickej odolnosti III-A,</w:t>
      </w:r>
    </w:p>
    <w:p w:rsidR="00EB5426" w:rsidRPr="00EB5426" w:rsidRDefault="00EB5426" w:rsidP="00EB5426">
      <w:pPr>
        <w:numPr>
          <w:ilvl w:val="0"/>
          <w:numId w:val="4"/>
        </w:numPr>
        <w:jc w:val="both"/>
        <w:rPr>
          <w:rFonts w:ascii="Arial Narrow" w:hAnsi="Arial Narrow"/>
          <w:sz w:val="22"/>
          <w:szCs w:val="22"/>
        </w:rPr>
      </w:pPr>
      <w:r w:rsidRPr="00EB5426">
        <w:rPr>
          <w:rFonts w:ascii="Arial Narrow" w:hAnsi="Arial Narrow"/>
          <w:sz w:val="22"/>
          <w:szCs w:val="22"/>
        </w:rPr>
        <w:t>vykonanie fyzikálno-mechanickej skúšky.</w:t>
      </w:r>
    </w:p>
    <w:p w:rsidR="00EB5426" w:rsidRPr="00EB5426" w:rsidRDefault="00EB5426" w:rsidP="00EB5426">
      <w:pPr>
        <w:numPr>
          <w:ilvl w:val="0"/>
          <w:numId w:val="3"/>
        </w:numPr>
        <w:jc w:val="both"/>
        <w:rPr>
          <w:rFonts w:ascii="Arial Narrow" w:hAnsi="Arial Narrow"/>
          <w:sz w:val="22"/>
          <w:szCs w:val="22"/>
        </w:rPr>
      </w:pPr>
      <w:r w:rsidRPr="00EB5426">
        <w:rPr>
          <w:rFonts w:ascii="Arial Narrow" w:hAnsi="Arial Narrow"/>
          <w:sz w:val="22"/>
          <w:szCs w:val="22"/>
        </w:rPr>
        <w:t>vykonanie vizuálnej a manuálnej kontroly,</w:t>
      </w:r>
    </w:p>
    <w:p w:rsidR="00EB5426" w:rsidRPr="00EB5426" w:rsidRDefault="00EB5426" w:rsidP="00EB5426">
      <w:pPr>
        <w:numPr>
          <w:ilvl w:val="0"/>
          <w:numId w:val="3"/>
        </w:numPr>
        <w:jc w:val="both"/>
        <w:rPr>
          <w:rFonts w:ascii="Arial Narrow" w:hAnsi="Arial Narrow"/>
          <w:sz w:val="22"/>
          <w:szCs w:val="22"/>
        </w:rPr>
      </w:pPr>
      <w:r w:rsidRPr="00EB5426">
        <w:rPr>
          <w:rFonts w:ascii="Arial Narrow" w:hAnsi="Arial Narrow"/>
          <w:sz w:val="22"/>
          <w:szCs w:val="22"/>
        </w:rPr>
        <w:t>vypracovanie „Protokolov z revízie“ a „Súhrnných protokolov z revízie“.</w:t>
      </w:r>
    </w:p>
    <w:p w:rsidR="00EB5426" w:rsidRPr="00EB5426" w:rsidRDefault="00EB5426" w:rsidP="00EB5426">
      <w:pPr>
        <w:jc w:val="both"/>
        <w:rPr>
          <w:rFonts w:ascii="Arial Narrow" w:hAnsi="Arial Narrow"/>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1</w:t>
      </w:r>
      <w:r w:rsidR="00EB5426" w:rsidRPr="00EB5426">
        <w:rPr>
          <w:rFonts w:ascii="Arial Narrow" w:hAnsi="Arial Narrow"/>
          <w:b/>
          <w:sz w:val="22"/>
          <w:szCs w:val="22"/>
        </w:rPr>
        <w:t>.5</w:t>
      </w:r>
      <w:r w:rsidR="00EB5426" w:rsidRPr="00EB5426">
        <w:rPr>
          <w:rFonts w:ascii="Arial Narrow" w:hAnsi="Arial Narrow"/>
          <w:b/>
          <w:sz w:val="22"/>
          <w:szCs w:val="22"/>
        </w:rPr>
        <w:tab/>
        <w:t>Balistické skúšky</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 xml:space="preserve">Balistické skúšky sa vykonajú na dvoch kusoch ochranných balistických viest SAT, pričom sa vyberie jeden kus čo najviac opotrebovaný a jeden kus nepoužívaný. Vesty musia spĺňať kritériá triedy balistickej odolnosti III-A podľa US Standard NIJ 0101.04. Balistická skúška sa vykoná na prednom aj zadnom balistickom chrániči. </w:t>
      </w:r>
    </w:p>
    <w:p w:rsidR="00EB5426" w:rsidRPr="00EB5426" w:rsidRDefault="00EB5426" w:rsidP="00EB5426">
      <w:pPr>
        <w:ind w:firstLine="360"/>
        <w:jc w:val="both"/>
        <w:rPr>
          <w:rFonts w:ascii="Arial Narrow" w:hAnsi="Arial Narrow"/>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1</w:t>
      </w:r>
      <w:r w:rsidR="00EB5426" w:rsidRPr="00EB5426">
        <w:rPr>
          <w:rFonts w:ascii="Arial Narrow" w:hAnsi="Arial Narrow"/>
          <w:b/>
          <w:sz w:val="22"/>
          <w:szCs w:val="22"/>
        </w:rPr>
        <w:t>.6.</w:t>
      </w:r>
      <w:r w:rsidR="00EB5426" w:rsidRPr="00EB5426">
        <w:rPr>
          <w:rFonts w:ascii="Arial Narrow" w:hAnsi="Arial Narrow"/>
          <w:b/>
          <w:sz w:val="22"/>
          <w:szCs w:val="22"/>
        </w:rPr>
        <w:tab/>
        <w:t>Fyzikálno-mechanické skúšky</w:t>
      </w:r>
    </w:p>
    <w:p w:rsidR="00EB5426" w:rsidRPr="00EB5426" w:rsidRDefault="00EB5426" w:rsidP="00EB5426">
      <w:pPr>
        <w:ind w:firstLine="397"/>
        <w:jc w:val="both"/>
        <w:rPr>
          <w:rFonts w:ascii="Arial Narrow" w:hAnsi="Arial Narrow"/>
          <w:sz w:val="22"/>
          <w:szCs w:val="22"/>
        </w:rPr>
      </w:pPr>
      <w:r w:rsidRPr="00EB5426">
        <w:rPr>
          <w:rFonts w:ascii="Arial Narrow" w:hAnsi="Arial Narrow"/>
          <w:sz w:val="22"/>
          <w:szCs w:val="22"/>
        </w:rPr>
        <w:t>Fyzikálno-mechanické skúšky sa vykonajú na dvoch kusoch ochranných balistických viest SAT, pričom sa vyberie jeden kus čo najviac opotrebovaný a jeden kus nepoužívaný.</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Obsahom fyzikálno-mechanickej skúšky musí byť kontrola plošnej hmotnosti podľa normy STN EN 12127, hrúbka podľa normy STN EN ISO 5084, pevnosť v ťahu podľa normy STN EN ISO 13937-1 a  ťažnosť podľa normy STN EN ISO 13937-1.</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Na stanovenie prvotných fyzikálno-mechanických veličín (plošná hmotnosť, hrúbka, pevnosť v ťahu a ťažnosť) si zhotoviteľ zabezpečí údaje od výrobcu resp. vykoná fyzikálno-mechanické skúšky nového identického materiálu. Výsledky skúšok musia byť uvedené v skúšobnom protokole potvrdenom autorizovanou osobou.</w:t>
      </w:r>
    </w:p>
    <w:p w:rsidR="00EB5426" w:rsidRPr="00EB5426" w:rsidRDefault="00EB5426" w:rsidP="00EB5426">
      <w:pPr>
        <w:ind w:firstLine="360"/>
        <w:jc w:val="both"/>
        <w:rPr>
          <w:rFonts w:ascii="Arial Narrow" w:hAnsi="Arial Narrow"/>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1</w:t>
      </w:r>
      <w:r w:rsidR="00EB5426" w:rsidRPr="00EB5426">
        <w:rPr>
          <w:rFonts w:ascii="Arial Narrow" w:hAnsi="Arial Narrow"/>
          <w:b/>
          <w:sz w:val="22"/>
          <w:szCs w:val="22"/>
        </w:rPr>
        <w:t>.7.</w:t>
      </w:r>
      <w:r w:rsidR="00EB5426" w:rsidRPr="00EB5426">
        <w:rPr>
          <w:rFonts w:ascii="Arial Narrow" w:hAnsi="Arial Narrow"/>
          <w:b/>
          <w:sz w:val="22"/>
          <w:szCs w:val="22"/>
        </w:rPr>
        <w:tab/>
        <w:t>Vizuálna a manuálna kontrola</w:t>
      </w:r>
    </w:p>
    <w:p w:rsidR="00EB5426" w:rsidRPr="00EB5426" w:rsidRDefault="00EB5426" w:rsidP="00EB5426">
      <w:pPr>
        <w:ind w:firstLine="360"/>
        <w:jc w:val="both"/>
        <w:rPr>
          <w:rFonts w:ascii="Arial Narrow" w:hAnsi="Arial Narrow"/>
          <w:sz w:val="22"/>
          <w:szCs w:val="22"/>
        </w:rPr>
      </w:pPr>
      <w:r w:rsidRPr="00EB5426">
        <w:rPr>
          <w:rFonts w:ascii="Arial Narrow" w:hAnsi="Arial Narrow"/>
          <w:sz w:val="22"/>
          <w:szCs w:val="22"/>
        </w:rPr>
        <w:t>Pri vizuálnej a manuálnej kontrole je potrebné dôsledne skontrolovať kompletnosť ochrannej balistickej vesty SAT, neporušenosť jednotlivých častí, neporušenosť šitia a funkčnosť upínacieho systému. Po otvorení vrchného obalu ochrannej balistickej vesty SAT je potrebné skontrolovať jednotlivé vrstvy ochranného balistického panelu, usporiadanie jednotlivých vrstiev, celistvosť vrstiev a ich neporušenosť, ich farbu, škvrnitosť, úbytok hrúbky a kompaktnosť. Po vykonanej kontrole sa každý ochranný balistický panel opäť vloží do obalového materiálu a zašije. Táto kontrola sa vykonáva u 100 % revidovaných ochranných balistických vestách SAT. Poškodené vesty, ktoré nie je možné opraviť, sa označia nestierateľným textom „N</w:t>
      </w:r>
      <w:r w:rsidRPr="00EB5426">
        <w:rPr>
          <w:rFonts w:ascii="Arial Narrow" w:hAnsi="Arial Narrow"/>
          <w:caps/>
          <w:sz w:val="22"/>
          <w:szCs w:val="22"/>
        </w:rPr>
        <w:t>epoužívať</w:t>
      </w:r>
      <w:r w:rsidRPr="00EB5426">
        <w:rPr>
          <w:rFonts w:ascii="Arial Narrow" w:hAnsi="Arial Narrow"/>
          <w:sz w:val="22"/>
          <w:szCs w:val="22"/>
        </w:rPr>
        <w:t>“.</w:t>
      </w:r>
    </w:p>
    <w:p w:rsidR="00EB5426" w:rsidRPr="00EB5426" w:rsidRDefault="00EB5426" w:rsidP="00EB5426">
      <w:pPr>
        <w:ind w:firstLine="360"/>
        <w:jc w:val="both"/>
        <w:rPr>
          <w:rFonts w:ascii="Arial Narrow" w:hAnsi="Arial Narrow"/>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1</w:t>
      </w:r>
      <w:r w:rsidR="00EB5426" w:rsidRPr="00EB5426">
        <w:rPr>
          <w:rFonts w:ascii="Arial Narrow" w:hAnsi="Arial Narrow"/>
          <w:b/>
          <w:sz w:val="22"/>
          <w:szCs w:val="22"/>
        </w:rPr>
        <w:t>.8.</w:t>
      </w:r>
      <w:r w:rsidR="00EB5426" w:rsidRPr="00EB5426">
        <w:rPr>
          <w:rFonts w:ascii="Arial Narrow" w:hAnsi="Arial Narrow"/>
          <w:b/>
          <w:sz w:val="22"/>
          <w:szCs w:val="22"/>
        </w:rPr>
        <w:tab/>
        <w:t>Označenie ochranných balistických viest SAT po revízií</w:t>
      </w:r>
    </w:p>
    <w:p w:rsidR="00EB5426" w:rsidRPr="00EB5426" w:rsidRDefault="00EB5426" w:rsidP="00EB5426">
      <w:pPr>
        <w:ind w:firstLine="360"/>
        <w:jc w:val="both"/>
        <w:rPr>
          <w:rFonts w:ascii="Arial Narrow" w:hAnsi="Arial Narrow"/>
          <w:b/>
          <w:sz w:val="22"/>
          <w:szCs w:val="22"/>
        </w:rPr>
      </w:pPr>
      <w:r w:rsidRPr="00EB5426">
        <w:rPr>
          <w:rFonts w:ascii="Arial Narrow" w:hAnsi="Arial Narrow"/>
          <w:bCs/>
          <w:sz w:val="22"/>
          <w:szCs w:val="22"/>
        </w:rPr>
        <w:t xml:space="preserve">Každý balistický chránič </w:t>
      </w:r>
      <w:r w:rsidRPr="00EB5426">
        <w:rPr>
          <w:rFonts w:ascii="Arial Narrow" w:hAnsi="Arial Narrow"/>
          <w:sz w:val="22"/>
          <w:szCs w:val="22"/>
        </w:rPr>
        <w:t>ochrannej balistickej vesty SAT</w:t>
      </w:r>
      <w:r w:rsidRPr="00EB5426">
        <w:rPr>
          <w:rFonts w:ascii="Arial Narrow" w:hAnsi="Arial Narrow"/>
          <w:bCs/>
          <w:sz w:val="22"/>
          <w:szCs w:val="22"/>
        </w:rPr>
        <w:t xml:space="preserve"> sa na samostatnom uzatvorenom ochrannom obale po vykonaní revízie musí označiť trvalým štítkom, na ktorom je uvedený zhotoviteľ revízie, trieda balistickej odolnosti, trieda odolnosti proti bodným zbraniam, dátum revízie a dátum životnosti (v tvare mesiac/rok). Značenie vykoná zhotoviteľ</w:t>
      </w:r>
      <w:r w:rsidRPr="00EB5426">
        <w:rPr>
          <w:rFonts w:ascii="Arial Narrow" w:hAnsi="Arial Narrow"/>
          <w:sz w:val="22"/>
          <w:szCs w:val="22"/>
        </w:rPr>
        <w:t>. Pôvodné značenie výrobcu ostáva nezmenené.</w:t>
      </w:r>
    </w:p>
    <w:p w:rsidR="00EB5426" w:rsidRPr="00EB5426" w:rsidRDefault="00EB5426" w:rsidP="00EB5426">
      <w:pPr>
        <w:ind w:firstLine="360"/>
        <w:jc w:val="both"/>
        <w:rPr>
          <w:rFonts w:ascii="Arial Narrow" w:hAnsi="Arial Narrow"/>
          <w:b/>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1</w:t>
      </w:r>
      <w:r w:rsidR="00EB5426" w:rsidRPr="00EB5426">
        <w:rPr>
          <w:rFonts w:ascii="Arial Narrow" w:hAnsi="Arial Narrow"/>
          <w:b/>
          <w:sz w:val="22"/>
          <w:szCs w:val="22"/>
        </w:rPr>
        <w:t>.9.</w:t>
      </w:r>
      <w:r w:rsidR="00EB5426" w:rsidRPr="00EB5426">
        <w:rPr>
          <w:rFonts w:ascii="Arial Narrow" w:hAnsi="Arial Narrow"/>
          <w:b/>
          <w:sz w:val="22"/>
          <w:szCs w:val="22"/>
        </w:rPr>
        <w:tab/>
        <w:t>Protokoly o vykonaných revíziách</w:t>
      </w:r>
    </w:p>
    <w:p w:rsidR="00EB5426" w:rsidRPr="00EB5426" w:rsidRDefault="00EB5426" w:rsidP="00EB5426">
      <w:pPr>
        <w:ind w:firstLine="397"/>
        <w:jc w:val="both"/>
        <w:rPr>
          <w:rFonts w:ascii="Arial Narrow" w:hAnsi="Arial Narrow"/>
          <w:sz w:val="22"/>
          <w:szCs w:val="22"/>
        </w:rPr>
      </w:pPr>
      <w:r w:rsidRPr="00EB5426">
        <w:rPr>
          <w:rFonts w:ascii="Arial Narrow" w:hAnsi="Arial Narrow"/>
          <w:sz w:val="22"/>
          <w:szCs w:val="22"/>
        </w:rPr>
        <w:t xml:space="preserve">Po ukončení revízií ochranných balistických viest SAT je potrebné vydať ku každej ochrannej balistickej veste SAT „Protokol z revízie“ so zárukou predĺženia životnosti ochrannej balistickej vesty SAT o ďalších 5 rokov odo dňa ukončenia revízie. Taktiež je potrebné vydať „Súhrnný protokol z revízie“ za každú sadu. Pod pojmom </w:t>
      </w:r>
      <w:proofErr w:type="spellStart"/>
      <w:r w:rsidRPr="00EB5426">
        <w:rPr>
          <w:rFonts w:ascii="Arial Narrow" w:hAnsi="Arial Narrow"/>
          <w:sz w:val="22"/>
          <w:szCs w:val="22"/>
        </w:rPr>
        <w:t>sada</w:t>
      </w:r>
      <w:proofErr w:type="spellEnd"/>
      <w:r w:rsidRPr="00EB5426">
        <w:rPr>
          <w:rFonts w:ascii="Arial Narrow" w:hAnsi="Arial Narrow"/>
          <w:sz w:val="22"/>
          <w:szCs w:val="22"/>
        </w:rPr>
        <w:t xml:space="preserve"> sa rozumie určený počet viest od jednej súčasti. Súhrnný protokol z revízie zasiela zhotoviteľ v jednom originály na </w:t>
      </w:r>
      <w:r w:rsidRPr="00EB5426">
        <w:rPr>
          <w:rFonts w:ascii="Arial Narrow" w:hAnsi="Arial Narrow"/>
          <w:sz w:val="22"/>
          <w:szCs w:val="22"/>
        </w:rPr>
        <w:lastRenderedPageBreak/>
        <w:t>jednotlivé súčasti a v jednom originály aj na odbor hospodárskeho zabezpečenia sekcie ekonomiky Ministerstva vnútra Slovenskej republiky (ďalej len „ministerstvo“). Pod pojmom súčasť sa rozumie centrum podpory ministerstva a úrad ministerstva.</w:t>
      </w:r>
    </w:p>
    <w:p w:rsidR="00EB5426" w:rsidRPr="00EB5426" w:rsidRDefault="00EB5426" w:rsidP="00EB5426">
      <w:pPr>
        <w:jc w:val="both"/>
        <w:rPr>
          <w:rFonts w:ascii="Arial Narrow" w:hAnsi="Arial Narrow"/>
          <w:b/>
          <w:sz w:val="22"/>
          <w:szCs w:val="22"/>
        </w:rPr>
      </w:pPr>
    </w:p>
    <w:p w:rsidR="00EB5426" w:rsidRPr="00EB5426" w:rsidRDefault="00EB5426" w:rsidP="00EB5426">
      <w:pPr>
        <w:jc w:val="both"/>
        <w:rPr>
          <w:rFonts w:ascii="Arial Narrow" w:hAnsi="Arial Narrow"/>
          <w:b/>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1</w:t>
      </w:r>
      <w:r w:rsidR="00EB5426" w:rsidRPr="00EB5426">
        <w:rPr>
          <w:rFonts w:ascii="Arial Narrow" w:hAnsi="Arial Narrow"/>
          <w:b/>
          <w:sz w:val="22"/>
          <w:szCs w:val="22"/>
        </w:rPr>
        <w:t>.10.</w:t>
      </w:r>
      <w:r w:rsidR="00EB5426" w:rsidRPr="00EB5426">
        <w:rPr>
          <w:rFonts w:ascii="Arial Narrow" w:hAnsi="Arial Narrow"/>
          <w:b/>
          <w:sz w:val="22"/>
          <w:szCs w:val="22"/>
        </w:rPr>
        <w:tab/>
      </w:r>
      <w:r w:rsidR="00EB5426" w:rsidRPr="00EB5426">
        <w:rPr>
          <w:rFonts w:ascii="Arial Narrow" w:hAnsi="Arial Narrow"/>
          <w:b/>
          <w:sz w:val="22"/>
          <w:szCs w:val="22"/>
          <w:u w:val="single"/>
        </w:rPr>
        <w:t>Dokladovanie certifikátmi</w:t>
      </w:r>
    </w:p>
    <w:p w:rsidR="00EB5426" w:rsidRPr="00EB5426" w:rsidRDefault="00EB5426" w:rsidP="00EB5426">
      <w:pPr>
        <w:ind w:firstLine="397"/>
        <w:jc w:val="both"/>
        <w:rPr>
          <w:rFonts w:ascii="Arial Narrow" w:hAnsi="Arial Narrow"/>
          <w:sz w:val="22"/>
          <w:szCs w:val="22"/>
        </w:rPr>
      </w:pPr>
      <w:r w:rsidRPr="00EB5426">
        <w:rPr>
          <w:rFonts w:ascii="Arial Narrow" w:hAnsi="Arial Narrow"/>
          <w:sz w:val="22"/>
          <w:szCs w:val="22"/>
        </w:rPr>
        <w:t xml:space="preserve">Zhotoviteľ požadované vlastnosti uvedené v bodoch </w:t>
      </w:r>
      <w:r w:rsidR="00A85CFF">
        <w:rPr>
          <w:rFonts w:ascii="Arial Narrow" w:hAnsi="Arial Narrow"/>
          <w:sz w:val="22"/>
          <w:szCs w:val="22"/>
        </w:rPr>
        <w:t>1</w:t>
      </w:r>
      <w:r w:rsidRPr="00EB5426">
        <w:rPr>
          <w:rFonts w:ascii="Arial Narrow" w:hAnsi="Arial Narrow"/>
          <w:sz w:val="22"/>
          <w:szCs w:val="22"/>
        </w:rPr>
        <w:t xml:space="preserve">.5. a </w:t>
      </w:r>
      <w:r w:rsidR="00A85CFF">
        <w:rPr>
          <w:rFonts w:ascii="Arial Narrow" w:hAnsi="Arial Narrow"/>
          <w:sz w:val="22"/>
          <w:szCs w:val="22"/>
        </w:rPr>
        <w:t>1</w:t>
      </w:r>
      <w:r w:rsidRPr="00EB5426">
        <w:rPr>
          <w:rFonts w:ascii="Arial Narrow" w:hAnsi="Arial Narrow"/>
          <w:sz w:val="22"/>
          <w:szCs w:val="22"/>
        </w:rPr>
        <w:t>.6. preukáže protokolom zo skúšok a záverečným protokolom vydaným autorizovanou osobou.</w:t>
      </w:r>
    </w:p>
    <w:p w:rsidR="00EB5426" w:rsidRPr="00EB5426" w:rsidRDefault="00EB5426" w:rsidP="00EB5426">
      <w:pPr>
        <w:jc w:val="both"/>
        <w:rPr>
          <w:rFonts w:ascii="Arial Narrow" w:hAnsi="Arial Narrow"/>
          <w:sz w:val="22"/>
          <w:szCs w:val="22"/>
        </w:rPr>
      </w:pPr>
    </w:p>
    <w:p w:rsidR="00EB5426" w:rsidRPr="00EB5426" w:rsidRDefault="00714839" w:rsidP="00EB5426">
      <w:pPr>
        <w:jc w:val="both"/>
        <w:rPr>
          <w:rFonts w:ascii="Arial Narrow" w:hAnsi="Arial Narrow"/>
          <w:sz w:val="22"/>
          <w:szCs w:val="22"/>
        </w:rPr>
      </w:pPr>
      <w:r>
        <w:rPr>
          <w:rFonts w:ascii="Arial Narrow" w:hAnsi="Arial Narrow"/>
          <w:b/>
          <w:sz w:val="22"/>
          <w:szCs w:val="22"/>
        </w:rPr>
        <w:t>1</w:t>
      </w:r>
      <w:r w:rsidR="00EB5426" w:rsidRPr="00EB5426">
        <w:rPr>
          <w:rFonts w:ascii="Arial Narrow" w:hAnsi="Arial Narrow"/>
          <w:b/>
          <w:sz w:val="22"/>
          <w:szCs w:val="22"/>
        </w:rPr>
        <w:t>.11.</w:t>
      </w:r>
      <w:r w:rsidR="00EB5426" w:rsidRPr="00EB5426">
        <w:rPr>
          <w:rFonts w:ascii="Arial Narrow" w:hAnsi="Arial Narrow"/>
          <w:b/>
          <w:sz w:val="22"/>
          <w:szCs w:val="22"/>
        </w:rPr>
        <w:tab/>
      </w:r>
      <w:r w:rsidR="00EB5426" w:rsidRPr="00EB5426">
        <w:rPr>
          <w:rFonts w:ascii="Arial Narrow" w:hAnsi="Arial Narrow"/>
          <w:b/>
          <w:sz w:val="22"/>
          <w:szCs w:val="22"/>
          <w:u w:val="single"/>
        </w:rPr>
        <w:t>Termín plnenia</w:t>
      </w:r>
    </w:p>
    <w:p w:rsidR="00EB5426" w:rsidRPr="00EB5426" w:rsidRDefault="00EB5426" w:rsidP="00EB5426">
      <w:pPr>
        <w:ind w:firstLine="397"/>
        <w:jc w:val="both"/>
        <w:rPr>
          <w:rFonts w:ascii="Arial Narrow" w:hAnsi="Arial Narrow"/>
          <w:sz w:val="22"/>
          <w:szCs w:val="22"/>
        </w:rPr>
      </w:pPr>
      <w:r w:rsidRPr="00EB5426">
        <w:rPr>
          <w:rFonts w:ascii="Arial Narrow" w:hAnsi="Arial Narrow"/>
          <w:sz w:val="22"/>
          <w:szCs w:val="22"/>
        </w:rPr>
        <w:t xml:space="preserve">Revízie ochranných balistických viest SAT je nutné vykonať do konca roku 2023. Harmonogram vykonania revízií podľa jednotlivých </w:t>
      </w:r>
      <w:proofErr w:type="spellStart"/>
      <w:r w:rsidRPr="00EB5426">
        <w:rPr>
          <w:rFonts w:ascii="Arial Narrow" w:hAnsi="Arial Narrow"/>
          <w:sz w:val="22"/>
          <w:szCs w:val="22"/>
        </w:rPr>
        <w:t>sád</w:t>
      </w:r>
      <w:proofErr w:type="spellEnd"/>
      <w:r w:rsidRPr="00EB5426">
        <w:rPr>
          <w:rFonts w:ascii="Arial Narrow" w:hAnsi="Arial Narrow"/>
          <w:sz w:val="22"/>
          <w:szCs w:val="22"/>
        </w:rPr>
        <w:t xml:space="preserve"> bude dohodnutý so zhotoviteľom pri spracovávaní  rámcovej dohody.</w:t>
      </w:r>
    </w:p>
    <w:p w:rsidR="00EB5426" w:rsidRPr="00EB5426" w:rsidRDefault="00EB5426" w:rsidP="00EB5426">
      <w:pPr>
        <w:jc w:val="both"/>
        <w:rPr>
          <w:rFonts w:ascii="Arial Narrow" w:hAnsi="Arial Narrow"/>
          <w:sz w:val="22"/>
          <w:szCs w:val="22"/>
        </w:rPr>
      </w:pPr>
    </w:p>
    <w:p w:rsidR="00EB5426" w:rsidRPr="00EB5426" w:rsidRDefault="00714839" w:rsidP="00EB5426">
      <w:pPr>
        <w:jc w:val="both"/>
        <w:rPr>
          <w:rFonts w:ascii="Arial Narrow" w:hAnsi="Arial Narrow"/>
          <w:b/>
          <w:sz w:val="22"/>
          <w:szCs w:val="22"/>
        </w:rPr>
      </w:pPr>
      <w:r>
        <w:rPr>
          <w:rFonts w:ascii="Arial Narrow" w:hAnsi="Arial Narrow"/>
          <w:b/>
          <w:sz w:val="22"/>
          <w:szCs w:val="22"/>
        </w:rPr>
        <w:t>1</w:t>
      </w:r>
      <w:r w:rsidR="00EB5426" w:rsidRPr="00EB5426">
        <w:rPr>
          <w:rFonts w:ascii="Arial Narrow" w:hAnsi="Arial Narrow"/>
          <w:b/>
          <w:sz w:val="22"/>
          <w:szCs w:val="22"/>
        </w:rPr>
        <w:t>.12.</w:t>
      </w:r>
      <w:r w:rsidR="00EB5426" w:rsidRPr="00EB5426">
        <w:rPr>
          <w:rFonts w:ascii="Arial Narrow" w:hAnsi="Arial Narrow"/>
          <w:b/>
          <w:sz w:val="22"/>
          <w:szCs w:val="22"/>
        </w:rPr>
        <w:tab/>
      </w:r>
      <w:r w:rsidR="00EB5426" w:rsidRPr="00EB5426">
        <w:rPr>
          <w:rFonts w:ascii="Arial Narrow" w:hAnsi="Arial Narrow"/>
          <w:b/>
          <w:sz w:val="22"/>
          <w:szCs w:val="22"/>
          <w:u w:val="single"/>
        </w:rPr>
        <w:t>Miesto plnenia</w:t>
      </w:r>
      <w:r w:rsidR="00EB5426" w:rsidRPr="00EB5426">
        <w:rPr>
          <w:rFonts w:ascii="Arial Narrow" w:hAnsi="Arial Narrow"/>
          <w:b/>
          <w:sz w:val="22"/>
          <w:szCs w:val="22"/>
        </w:rPr>
        <w:t xml:space="preserve"> </w:t>
      </w:r>
    </w:p>
    <w:p w:rsidR="00EB5426" w:rsidRPr="00EB5426" w:rsidRDefault="00EB5426" w:rsidP="00EB5426">
      <w:pPr>
        <w:ind w:firstLine="397"/>
        <w:jc w:val="both"/>
        <w:rPr>
          <w:rFonts w:ascii="Arial Narrow" w:hAnsi="Arial Narrow"/>
          <w:sz w:val="22"/>
          <w:szCs w:val="22"/>
        </w:rPr>
      </w:pPr>
      <w:r w:rsidRPr="00EB5426">
        <w:rPr>
          <w:rFonts w:ascii="Arial Narrow" w:hAnsi="Arial Narrow"/>
          <w:sz w:val="22"/>
          <w:szCs w:val="22"/>
        </w:rPr>
        <w:t>Ochranné balistické vesty SAT určené na revíziu odsunie uchádzač z jednotlivých centier podpory ministerstva a úradu ministerstva vlastnými prostriedkami, taktiež ich dovoz po revízii do jednotlivých centier podpory vykoná na vlastné náklady. Úplné adresy centier podpory ministerstva a množstvá ochranných balistických viest SAT určených na revíziu budú tvoriť prílohu rámcovej dohody.</w:t>
      </w:r>
    </w:p>
    <w:p w:rsidR="00EB5426" w:rsidRPr="00EB5426" w:rsidRDefault="00EB5426" w:rsidP="00EB5426">
      <w:pPr>
        <w:ind w:firstLine="360"/>
        <w:jc w:val="both"/>
        <w:rPr>
          <w:rFonts w:ascii="Arial Narrow" w:hAnsi="Arial Narrow"/>
          <w:sz w:val="22"/>
          <w:szCs w:val="22"/>
        </w:rPr>
      </w:pPr>
    </w:p>
    <w:p w:rsidR="00EB5426" w:rsidRPr="00EB5426" w:rsidRDefault="00EB5426" w:rsidP="00EB5426">
      <w:pPr>
        <w:rPr>
          <w:rFonts w:ascii="Arial Narrow" w:hAnsi="Arial Narrow"/>
          <w:sz w:val="22"/>
          <w:szCs w:val="22"/>
        </w:rPr>
      </w:pPr>
    </w:p>
    <w:p w:rsidR="00EB2896" w:rsidRDefault="00EB2896" w:rsidP="00EB2896">
      <w:pPr>
        <w:rPr>
          <w:rFonts w:ascii="Arial Narrow" w:hAnsi="Arial Narrow"/>
          <w:sz w:val="22"/>
          <w:szCs w:val="22"/>
        </w:rPr>
      </w:pPr>
    </w:p>
    <w:p w:rsidR="00EB2896" w:rsidRDefault="00EB2896" w:rsidP="00EB2896">
      <w:pPr>
        <w:pStyle w:val="Zarkazkladnhotextu"/>
        <w:spacing w:line="240" w:lineRule="atLeast"/>
        <w:rPr>
          <w:rFonts w:ascii="Arial Narrow" w:hAnsi="Arial Narrow"/>
          <w:sz w:val="22"/>
          <w:szCs w:val="22"/>
        </w:rPr>
      </w:pPr>
      <w:r>
        <w:rPr>
          <w:rFonts w:ascii="Arial Narrow" w:hAnsi="Arial Narrow"/>
          <w:sz w:val="22"/>
          <w:szCs w:val="22"/>
        </w:rPr>
        <w:t>Úplné adresy centier podpory ministerstva a množstvá ochranných balistických viest SAT</w:t>
      </w:r>
    </w:p>
    <w:tbl>
      <w:tblPr>
        <w:tblW w:w="9060" w:type="dxa"/>
        <w:tblLayout w:type="fixed"/>
        <w:tblCellMar>
          <w:left w:w="30" w:type="dxa"/>
          <w:right w:w="30" w:type="dxa"/>
        </w:tblCellMar>
        <w:tblLook w:val="04A0" w:firstRow="1" w:lastRow="0" w:firstColumn="1" w:lastColumn="0" w:noHBand="0" w:noVBand="1"/>
      </w:tblPr>
      <w:tblGrid>
        <w:gridCol w:w="1032"/>
        <w:gridCol w:w="2788"/>
        <w:gridCol w:w="1223"/>
        <w:gridCol w:w="4017"/>
      </w:tblGrid>
      <w:tr w:rsidR="00EB2896" w:rsidTr="00EB2896">
        <w:trPr>
          <w:trHeight w:val="290"/>
        </w:trPr>
        <w:tc>
          <w:tcPr>
            <w:tcW w:w="3821" w:type="dxa"/>
            <w:gridSpan w:val="2"/>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b/>
                <w:bCs/>
                <w:color w:val="000000"/>
                <w:sz w:val="22"/>
                <w:szCs w:val="22"/>
                <w:lang w:eastAsia="en-US"/>
              </w:rPr>
            </w:pPr>
            <w:r>
              <w:rPr>
                <w:rFonts w:ascii="Arial Narrow" w:eastAsiaTheme="minorHAnsi" w:hAnsi="Arial Narrow" w:cs="Calibri"/>
                <w:b/>
                <w:bCs/>
                <w:color w:val="000000"/>
                <w:sz w:val="22"/>
                <w:szCs w:val="22"/>
                <w:lang w:eastAsia="en-US"/>
              </w:rPr>
              <w:t>Zoznam viest</w:t>
            </w:r>
          </w:p>
        </w:tc>
        <w:tc>
          <w:tcPr>
            <w:tcW w:w="1224" w:type="dxa"/>
            <w:tcBorders>
              <w:top w:val="single" w:sz="6" w:space="0" w:color="auto"/>
              <w:left w:val="single" w:sz="6" w:space="0" w:color="auto"/>
              <w:bottom w:val="single" w:sz="6" w:space="0" w:color="auto"/>
              <w:right w:val="single" w:sz="6" w:space="0" w:color="auto"/>
            </w:tcBorders>
          </w:tcPr>
          <w:p w:rsidR="00EB2896" w:rsidRDefault="00EB2896">
            <w:pPr>
              <w:autoSpaceDE w:val="0"/>
              <w:autoSpaceDN w:val="0"/>
              <w:adjustRightInd w:val="0"/>
              <w:spacing w:line="256" w:lineRule="auto"/>
              <w:jc w:val="center"/>
              <w:rPr>
                <w:rFonts w:ascii="Arial Narrow" w:eastAsiaTheme="minorHAnsi" w:hAnsi="Arial Narrow" w:cs="Calibri"/>
                <w:b/>
                <w:bCs/>
                <w:color w:val="000000"/>
                <w:sz w:val="22"/>
                <w:szCs w:val="22"/>
                <w:lang w:eastAsia="en-US"/>
              </w:rPr>
            </w:pPr>
          </w:p>
        </w:tc>
        <w:tc>
          <w:tcPr>
            <w:tcW w:w="4019" w:type="dxa"/>
            <w:tcBorders>
              <w:top w:val="single" w:sz="6" w:space="0" w:color="auto"/>
              <w:left w:val="single" w:sz="6" w:space="0" w:color="auto"/>
              <w:bottom w:val="single" w:sz="6" w:space="0" w:color="auto"/>
              <w:right w:val="single" w:sz="6" w:space="0" w:color="auto"/>
            </w:tcBorders>
          </w:tcPr>
          <w:p w:rsidR="00EB2896" w:rsidRDefault="00EB2896">
            <w:pPr>
              <w:autoSpaceDE w:val="0"/>
              <w:autoSpaceDN w:val="0"/>
              <w:adjustRightInd w:val="0"/>
              <w:spacing w:line="256" w:lineRule="auto"/>
              <w:jc w:val="center"/>
              <w:rPr>
                <w:rFonts w:ascii="Arial Narrow" w:eastAsiaTheme="minorHAnsi" w:hAnsi="Arial Narrow" w:cs="Calibri"/>
                <w:b/>
                <w:bCs/>
                <w:color w:val="000000"/>
                <w:sz w:val="22"/>
                <w:szCs w:val="22"/>
                <w:lang w:eastAsia="en-US"/>
              </w:rPr>
            </w:pP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proofErr w:type="spellStart"/>
            <w:r>
              <w:rPr>
                <w:rFonts w:ascii="Arial Narrow" w:eastAsiaTheme="minorHAnsi" w:hAnsi="Arial Narrow" w:cs="Calibri"/>
                <w:color w:val="000000"/>
                <w:sz w:val="22"/>
                <w:szCs w:val="22"/>
                <w:lang w:eastAsia="en-US"/>
              </w:rPr>
              <w:t>P.č</w:t>
            </w:r>
            <w:proofErr w:type="spellEnd"/>
            <w:r>
              <w:rPr>
                <w:rFonts w:ascii="Arial Narrow" w:eastAsiaTheme="minorHAnsi" w:hAnsi="Arial Narrow" w:cs="Calibri"/>
                <w:color w:val="000000"/>
                <w:sz w:val="22"/>
                <w:szCs w:val="22"/>
                <w:lang w:eastAsia="en-US"/>
              </w:rPr>
              <w:t>.</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Názov súčasti</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Počet viest</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Adresa</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Bratislava</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146</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Bratislava, Špitálska 14, Bratislava</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2.</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Trnava</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130</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Trnava, Kollárova 31, Trnava</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3.</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Trenčín</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94</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Trenčín, Jilemnického 1, Trenčín</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4.</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Žilina</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108</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SOŠ PO Žilina, Bytčianska 89/2, Žilina</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5.</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Nitra</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144</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 xml:space="preserve">CP Nitra, Železničiarska, Nitra </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6.</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Banská Bystrica</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125</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Sklady MV SR, Príboj 560, 976 13 Slovenská  Ľupča</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7.</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Prešov</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160</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Prešov, Malý Šariš 358</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8.</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Košice</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203</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CP Košice, Rampová 7, Košice</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9.</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ÚS MV SR Slovenská Ľupča</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374</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Sklady MV SR, Príboj 560, 976 13 Slovenská  Ľupča</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10.</w:t>
            </w: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Úrad MV SR</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1516</w:t>
            </w:r>
          </w:p>
        </w:tc>
        <w:tc>
          <w:tcPr>
            <w:tcW w:w="401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sklad Košická, Košická 47, 812 72 Bratislava</w:t>
            </w:r>
          </w:p>
        </w:tc>
      </w:tr>
      <w:tr w:rsidR="00EB2896" w:rsidTr="00EB2896">
        <w:trPr>
          <w:trHeight w:val="290"/>
        </w:trPr>
        <w:tc>
          <w:tcPr>
            <w:tcW w:w="1032" w:type="dxa"/>
            <w:tcBorders>
              <w:top w:val="single" w:sz="6" w:space="0" w:color="auto"/>
              <w:left w:val="single" w:sz="6" w:space="0" w:color="auto"/>
              <w:bottom w:val="single" w:sz="6" w:space="0" w:color="auto"/>
              <w:right w:val="single" w:sz="6" w:space="0" w:color="auto"/>
            </w:tcBorders>
          </w:tcPr>
          <w:p w:rsidR="00EB2896" w:rsidRDefault="00EB2896">
            <w:pPr>
              <w:autoSpaceDE w:val="0"/>
              <w:autoSpaceDN w:val="0"/>
              <w:adjustRightInd w:val="0"/>
              <w:spacing w:line="256" w:lineRule="auto"/>
              <w:jc w:val="right"/>
              <w:rPr>
                <w:rFonts w:ascii="Arial Narrow" w:eastAsiaTheme="minorHAnsi" w:hAnsi="Arial Narrow" w:cs="Calibri"/>
                <w:color w:val="000000"/>
                <w:sz w:val="22"/>
                <w:szCs w:val="22"/>
                <w:lang w:eastAsia="en-US"/>
              </w:rPr>
            </w:pPr>
          </w:p>
        </w:tc>
        <w:tc>
          <w:tcPr>
            <w:tcW w:w="2789"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Spolu</w:t>
            </w:r>
          </w:p>
        </w:tc>
        <w:tc>
          <w:tcPr>
            <w:tcW w:w="1224" w:type="dxa"/>
            <w:tcBorders>
              <w:top w:val="single" w:sz="6" w:space="0" w:color="auto"/>
              <w:left w:val="single" w:sz="6" w:space="0" w:color="auto"/>
              <w:bottom w:val="single" w:sz="6" w:space="0" w:color="auto"/>
              <w:right w:val="single" w:sz="6" w:space="0" w:color="auto"/>
            </w:tcBorders>
            <w:hideMark/>
          </w:tcPr>
          <w:p w:rsidR="00EB2896" w:rsidRDefault="00EB2896">
            <w:pPr>
              <w:autoSpaceDE w:val="0"/>
              <w:autoSpaceDN w:val="0"/>
              <w:adjustRightInd w:val="0"/>
              <w:spacing w:line="256" w:lineRule="auto"/>
              <w:jc w:val="cente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3000</w:t>
            </w:r>
          </w:p>
        </w:tc>
        <w:tc>
          <w:tcPr>
            <w:tcW w:w="4019" w:type="dxa"/>
            <w:tcBorders>
              <w:top w:val="single" w:sz="6" w:space="0" w:color="auto"/>
              <w:left w:val="single" w:sz="6" w:space="0" w:color="auto"/>
              <w:bottom w:val="single" w:sz="6" w:space="0" w:color="auto"/>
              <w:right w:val="single" w:sz="6" w:space="0" w:color="auto"/>
            </w:tcBorders>
          </w:tcPr>
          <w:p w:rsidR="00EB2896" w:rsidRDefault="00EB2896">
            <w:pPr>
              <w:autoSpaceDE w:val="0"/>
              <w:autoSpaceDN w:val="0"/>
              <w:adjustRightInd w:val="0"/>
              <w:spacing w:line="256" w:lineRule="auto"/>
              <w:jc w:val="right"/>
              <w:rPr>
                <w:rFonts w:ascii="Arial Narrow" w:eastAsiaTheme="minorHAnsi" w:hAnsi="Arial Narrow" w:cs="Calibri"/>
                <w:color w:val="000000"/>
                <w:sz w:val="22"/>
                <w:szCs w:val="22"/>
                <w:lang w:eastAsia="en-US"/>
              </w:rPr>
            </w:pPr>
          </w:p>
        </w:tc>
      </w:tr>
    </w:tbl>
    <w:p w:rsidR="00EB2896" w:rsidRDefault="00EB2896" w:rsidP="00EB2896">
      <w:pPr>
        <w:rPr>
          <w:rFonts w:ascii="Arial Narrow" w:hAnsi="Arial Narrow"/>
          <w:sz w:val="22"/>
          <w:szCs w:val="22"/>
        </w:rPr>
      </w:pPr>
    </w:p>
    <w:p w:rsidR="00060221" w:rsidRPr="00EB5426" w:rsidRDefault="00060221">
      <w:pPr>
        <w:rPr>
          <w:rFonts w:ascii="Arial Narrow" w:hAnsi="Arial Narrow"/>
          <w:sz w:val="22"/>
          <w:szCs w:val="22"/>
        </w:rPr>
      </w:pPr>
      <w:bookmarkStart w:id="0" w:name="_GoBack"/>
      <w:bookmarkEnd w:id="0"/>
    </w:p>
    <w:sectPr w:rsidR="00060221" w:rsidRPr="00EB5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32A3C"/>
    <w:multiLevelType w:val="hybridMultilevel"/>
    <w:tmpl w:val="18086B72"/>
    <w:lvl w:ilvl="0" w:tplc="041B0005">
      <w:start w:val="1"/>
      <w:numFmt w:val="bullet"/>
      <w:lvlText w:val=""/>
      <w:lvlJc w:val="left"/>
      <w:pPr>
        <w:ind w:left="4519" w:hanging="360"/>
      </w:pPr>
      <w:rPr>
        <w:rFonts w:ascii="Wingdings" w:hAnsi="Wingdings" w:hint="default"/>
      </w:rPr>
    </w:lvl>
    <w:lvl w:ilvl="1" w:tplc="041B0003" w:tentative="1">
      <w:start w:val="1"/>
      <w:numFmt w:val="bullet"/>
      <w:lvlText w:val="o"/>
      <w:lvlJc w:val="left"/>
      <w:pPr>
        <w:ind w:left="5239" w:hanging="360"/>
      </w:pPr>
      <w:rPr>
        <w:rFonts w:ascii="Courier New" w:hAnsi="Courier New" w:cs="Courier New" w:hint="default"/>
      </w:rPr>
    </w:lvl>
    <w:lvl w:ilvl="2" w:tplc="041B0005" w:tentative="1">
      <w:start w:val="1"/>
      <w:numFmt w:val="bullet"/>
      <w:lvlText w:val=""/>
      <w:lvlJc w:val="left"/>
      <w:pPr>
        <w:ind w:left="5959" w:hanging="360"/>
      </w:pPr>
      <w:rPr>
        <w:rFonts w:ascii="Wingdings" w:hAnsi="Wingdings" w:hint="default"/>
      </w:rPr>
    </w:lvl>
    <w:lvl w:ilvl="3" w:tplc="041B0001" w:tentative="1">
      <w:start w:val="1"/>
      <w:numFmt w:val="bullet"/>
      <w:lvlText w:val=""/>
      <w:lvlJc w:val="left"/>
      <w:pPr>
        <w:ind w:left="6679" w:hanging="360"/>
      </w:pPr>
      <w:rPr>
        <w:rFonts w:ascii="Symbol" w:hAnsi="Symbol" w:hint="default"/>
      </w:rPr>
    </w:lvl>
    <w:lvl w:ilvl="4" w:tplc="041B0003" w:tentative="1">
      <w:start w:val="1"/>
      <w:numFmt w:val="bullet"/>
      <w:lvlText w:val="o"/>
      <w:lvlJc w:val="left"/>
      <w:pPr>
        <w:ind w:left="7399" w:hanging="360"/>
      </w:pPr>
      <w:rPr>
        <w:rFonts w:ascii="Courier New" w:hAnsi="Courier New" w:cs="Courier New" w:hint="default"/>
      </w:rPr>
    </w:lvl>
    <w:lvl w:ilvl="5" w:tplc="041B0005" w:tentative="1">
      <w:start w:val="1"/>
      <w:numFmt w:val="bullet"/>
      <w:lvlText w:val=""/>
      <w:lvlJc w:val="left"/>
      <w:pPr>
        <w:ind w:left="8119" w:hanging="360"/>
      </w:pPr>
      <w:rPr>
        <w:rFonts w:ascii="Wingdings" w:hAnsi="Wingdings" w:hint="default"/>
      </w:rPr>
    </w:lvl>
    <w:lvl w:ilvl="6" w:tplc="041B0001" w:tentative="1">
      <w:start w:val="1"/>
      <w:numFmt w:val="bullet"/>
      <w:lvlText w:val=""/>
      <w:lvlJc w:val="left"/>
      <w:pPr>
        <w:ind w:left="8839" w:hanging="360"/>
      </w:pPr>
      <w:rPr>
        <w:rFonts w:ascii="Symbol" w:hAnsi="Symbol" w:hint="default"/>
      </w:rPr>
    </w:lvl>
    <w:lvl w:ilvl="7" w:tplc="041B0003" w:tentative="1">
      <w:start w:val="1"/>
      <w:numFmt w:val="bullet"/>
      <w:lvlText w:val="o"/>
      <w:lvlJc w:val="left"/>
      <w:pPr>
        <w:ind w:left="9559" w:hanging="360"/>
      </w:pPr>
      <w:rPr>
        <w:rFonts w:ascii="Courier New" w:hAnsi="Courier New" w:cs="Courier New" w:hint="default"/>
      </w:rPr>
    </w:lvl>
    <w:lvl w:ilvl="8" w:tplc="041B0005" w:tentative="1">
      <w:start w:val="1"/>
      <w:numFmt w:val="bullet"/>
      <w:lvlText w:val=""/>
      <w:lvlJc w:val="left"/>
      <w:pPr>
        <w:ind w:left="10279" w:hanging="360"/>
      </w:pPr>
      <w:rPr>
        <w:rFonts w:ascii="Wingdings" w:hAnsi="Wingdings" w:hint="default"/>
      </w:rPr>
    </w:lvl>
  </w:abstractNum>
  <w:abstractNum w:abstractNumId="1">
    <w:nsid w:val="20B16034"/>
    <w:multiLevelType w:val="hybridMultilevel"/>
    <w:tmpl w:val="2AA2E9C4"/>
    <w:lvl w:ilvl="0" w:tplc="801A0E50">
      <w:start w:val="1"/>
      <w:numFmt w:val="lowerLetter"/>
      <w:lvlText w:val="%1)"/>
      <w:lvlJc w:val="left"/>
      <w:pPr>
        <w:tabs>
          <w:tab w:val="num" w:pos="1068"/>
        </w:tabs>
        <w:ind w:left="1068" w:hanging="360"/>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
    <w:nsid w:val="33BF6CF0"/>
    <w:multiLevelType w:val="hybridMultilevel"/>
    <w:tmpl w:val="BB42472C"/>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50F49ED"/>
    <w:multiLevelType w:val="multilevel"/>
    <w:tmpl w:val="041B001F"/>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EF620F9"/>
    <w:multiLevelType w:val="hybridMultilevel"/>
    <w:tmpl w:val="281AF0C6"/>
    <w:lvl w:ilvl="0" w:tplc="1172A7A0">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
    <w:nsid w:val="7F861A1B"/>
    <w:multiLevelType w:val="multilevel"/>
    <w:tmpl w:val="30CEC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35"/>
        </w:tabs>
        <w:ind w:left="1035" w:hanging="6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26"/>
    <w:rsid w:val="00060221"/>
    <w:rsid w:val="0018686F"/>
    <w:rsid w:val="00714839"/>
    <w:rsid w:val="00A85CFF"/>
    <w:rsid w:val="00EB2896"/>
    <w:rsid w:val="00EB54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808FC-BD79-46A8-8C30-360355CD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542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EB5426"/>
    <w:pPr>
      <w:ind w:left="720"/>
      <w:contextualSpacing/>
    </w:pPr>
  </w:style>
  <w:style w:type="character" w:customStyle="1" w:styleId="OdsekzoznamuChar">
    <w:name w:val="Odsek zoznamu Char"/>
    <w:aliases w:val="body Char,List Paragraph Char"/>
    <w:link w:val="Odsekzoznamu"/>
    <w:uiPriority w:val="34"/>
    <w:locked/>
    <w:rsid w:val="00EB5426"/>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EB2896"/>
    <w:pPr>
      <w:spacing w:after="120"/>
      <w:ind w:left="283"/>
    </w:pPr>
  </w:style>
  <w:style w:type="character" w:customStyle="1" w:styleId="ZarkazkladnhotextuChar">
    <w:name w:val="Zarážka základného textu Char"/>
    <w:basedOn w:val="Predvolenpsmoodseku"/>
    <w:link w:val="Zarkazkladnhotextu"/>
    <w:uiPriority w:val="99"/>
    <w:semiHidden/>
    <w:rsid w:val="00EB289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1304</Words>
  <Characters>7437</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Baxant</dc:creator>
  <cp:keywords/>
  <dc:description/>
  <cp:lastModifiedBy>Miroslav Baxant</cp:lastModifiedBy>
  <cp:revision>4</cp:revision>
  <dcterms:created xsi:type="dcterms:W3CDTF">2023-01-09T14:24:00Z</dcterms:created>
  <dcterms:modified xsi:type="dcterms:W3CDTF">2023-01-10T09:49:00Z</dcterms:modified>
</cp:coreProperties>
</file>