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1014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  <w:bookmarkStart w:id="0" w:name="_Hlk118811958"/>
    </w:p>
    <w:p w14:paraId="711ABAB3" w14:textId="46916BB8" w:rsidR="002F2A0D" w:rsidRPr="00D938F7" w:rsidRDefault="002F2A0D" w:rsidP="002F2A0D">
      <w:pPr>
        <w:pStyle w:val="Zkladntext"/>
        <w:spacing w:before="94" w:after="240"/>
        <w:ind w:left="317" w:right="342"/>
        <w:rPr>
          <w:rFonts w:ascii="Verdana" w:hAnsi="Verdana"/>
          <w:b/>
          <w:bCs/>
          <w:sz w:val="18"/>
          <w:szCs w:val="18"/>
          <w:lang w:val="sk-SK" w:eastAsia="sk-SK"/>
        </w:rPr>
      </w:pPr>
      <w:bookmarkStart w:id="1" w:name="_Hlk118871205"/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D938F7" w:rsidRPr="00D938F7">
        <w:rPr>
          <w:rFonts w:ascii="Verdana" w:hAnsi="Verdana" w:cstheme="minorHAnsi"/>
          <w:b/>
          <w:bCs/>
          <w:sz w:val="18"/>
          <w:szCs w:val="18"/>
        </w:rPr>
        <w:t>Liečivá tráviacej sústavy</w:t>
      </w:r>
    </w:p>
    <w:p w14:paraId="19360D18" w14:textId="17D10FD4" w:rsidR="004C753C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4A59009F" w14:textId="77777777" w:rsidR="0084687D" w:rsidRPr="00653FB5" w:rsidRDefault="0084687D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</w:p>
    <w:p w14:paraId="38C30750" w14:textId="0A67AA71" w:rsidR="00DD1207" w:rsidRDefault="004C753C" w:rsidP="00FF174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2" w:name="_Hlk117086615"/>
      <w:bookmarkStart w:id="3" w:name="_Hlk118810974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>Fakultná nemocnica s poliklinikou Žilina, Vojtecha Spanyola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bookmarkStart w:id="4" w:name="_Hlk117151781"/>
      <w:r w:rsidR="00FF1747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 w:rsidR="00FF1747"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="00FF1747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="00FF1747"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, </w:t>
      </w:r>
      <w:r w:rsidR="00FF1747" w:rsidRPr="00422724">
        <w:rPr>
          <w:rFonts w:ascii="Verdana" w:hAnsi="Verdana" w:cstheme="minorHAnsi"/>
          <w:sz w:val="18"/>
          <w:szCs w:val="18"/>
          <w:lang w:val="sk-SK" w:eastAsia="ar-SA"/>
        </w:rPr>
        <w:t>IČO:31625657</w:t>
      </w:r>
      <w:r w:rsidR="00FF1747"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 </w:t>
      </w:r>
      <w:r w:rsidR="00FF1747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</w:t>
      </w:r>
      <w:bookmarkEnd w:id="4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že jeho ponuku  predloženú vo verejnom obstarávaní s názvom </w:t>
      </w:r>
      <w:r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bookmarkStart w:id="5" w:name="_Hlk117083600"/>
      <w:r w:rsidR="00145CE7"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D938F7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Liečivá tráviacej sústavy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5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D938F7">
        <w:rPr>
          <w:rFonts w:ascii="Verdana" w:hAnsi="Verdana" w:cstheme="minorHAnsi"/>
          <w:sz w:val="18"/>
          <w:szCs w:val="18"/>
          <w:lang w:val="sk-SK" w:eastAsia="ar-SA"/>
        </w:rPr>
        <w:t>216/2022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D938F7">
        <w:rPr>
          <w:rFonts w:ascii="Verdana" w:hAnsi="Verdana" w:cstheme="minorHAnsi"/>
          <w:sz w:val="18"/>
          <w:szCs w:val="18"/>
          <w:lang w:val="sk-SK" w:eastAsia="ar-SA"/>
        </w:rPr>
        <w:t>05.10.2022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D938F7">
        <w:rPr>
          <w:rFonts w:ascii="Verdana" w:hAnsi="Verdana" w:cstheme="minorHAnsi"/>
          <w:sz w:val="18"/>
          <w:szCs w:val="18"/>
          <w:lang w:val="sk-SK" w:eastAsia="ar-SA"/>
        </w:rPr>
        <w:t>42525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D938F7">
        <w:rPr>
          <w:rFonts w:ascii="Verdana" w:hAnsi="Verdana" w:cstheme="minorHAnsi"/>
          <w:sz w:val="18"/>
          <w:szCs w:val="18"/>
          <w:lang w:val="sk-SK" w:eastAsia="ar-SA"/>
        </w:rPr>
        <w:t>04.10.2022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2022/S 1</w:t>
      </w:r>
      <w:r w:rsidR="00D938F7">
        <w:rPr>
          <w:rFonts w:ascii="Verdana" w:hAnsi="Verdana" w:cstheme="minorHAnsi"/>
          <w:sz w:val="18"/>
          <w:szCs w:val="18"/>
          <w:lang w:val="sk-SK" w:eastAsia="ar-SA"/>
        </w:rPr>
        <w:t>91-540094.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bookmarkEnd w:id="2"/>
    </w:p>
    <w:p w14:paraId="720BA1ED" w14:textId="5910A856" w:rsidR="00641B94" w:rsidRDefault="00641B94" w:rsidP="00641B94">
      <w:pPr>
        <w:rPr>
          <w:b/>
          <w:iCs/>
        </w:rPr>
      </w:pPr>
      <w:bookmarkStart w:id="6" w:name="_Hlk127860295"/>
      <w:bookmarkStart w:id="7" w:name="_Hlk127860747"/>
      <w:bookmarkEnd w:id="3"/>
      <w:proofErr w:type="spellStart"/>
      <w:r>
        <w:rPr>
          <w:b/>
          <w:iCs/>
        </w:rPr>
        <w:t>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poruchy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súvisiace</w:t>
      </w:r>
      <w:proofErr w:type="spellEnd"/>
      <w:r>
        <w:rPr>
          <w:b/>
          <w:iCs/>
        </w:rPr>
        <w:t xml:space="preserve"> s </w:t>
      </w:r>
      <w:proofErr w:type="spellStart"/>
      <w:r>
        <w:rPr>
          <w:b/>
          <w:iCs/>
        </w:rPr>
        <w:t>kyselinou</w:t>
      </w:r>
      <w:proofErr w:type="spellEnd"/>
    </w:p>
    <w:p w14:paraId="6F16D32A" w14:textId="77777777" w:rsidR="0018192F" w:rsidRDefault="0018192F" w:rsidP="00641B94">
      <w:pPr>
        <w:rPr>
          <w:b/>
          <w:iCs/>
        </w:rPr>
      </w:pPr>
    </w:p>
    <w:p w14:paraId="3090DB32" w14:textId="197CC1C5" w:rsidR="004C753C" w:rsidRPr="00653FB5" w:rsidRDefault="004C753C" w:rsidP="00DD1207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8" w:name="_Hlk117082185"/>
      <w:bookmarkEnd w:id="6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53FB5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bookmarkEnd w:id="8"/>
          <w:p w14:paraId="6F228093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84687D" w:rsidRPr="00653FB5" w14:paraId="2E450DF9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F510338" w14:textId="30E213F6" w:rsidR="0084687D" w:rsidRDefault="00641B94" w:rsidP="0084687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9" w:name="_Hlk11880973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  <w:r w:rsidR="0084687D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56F43" w14:textId="3E094B08" w:rsidR="0084687D" w:rsidRDefault="0084687D" w:rsidP="0084687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FBA10D2" w14:textId="05904E86" w:rsidR="0084687D" w:rsidRDefault="0084687D" w:rsidP="0084687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23F398" w14:textId="289CB09D" w:rsidR="0084687D" w:rsidRDefault="00641B94" w:rsidP="0084687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62939,3120</w:t>
            </w:r>
          </w:p>
        </w:tc>
      </w:tr>
    </w:tbl>
    <w:p w14:paraId="54529E4E" w14:textId="77777777" w:rsidR="00145CE7" w:rsidRDefault="00145CE7" w:rsidP="00145C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  <w:bookmarkStart w:id="10" w:name="_Hlk92957569"/>
      <w:bookmarkStart w:id="11" w:name="_Hlk90363775"/>
      <w:bookmarkEnd w:id="9"/>
    </w:p>
    <w:p w14:paraId="31BDB98F" w14:textId="346645E0" w:rsidR="00145CE7" w:rsidRPr="00575FF5" w:rsidRDefault="00145CE7" w:rsidP="00641B94">
      <w:pPr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r w:rsidR="00641B94">
        <w:rPr>
          <w:b/>
          <w:iCs/>
        </w:rPr>
        <w:t xml:space="preserve">I. </w:t>
      </w:r>
      <w:proofErr w:type="spellStart"/>
      <w:r w:rsidR="00641B94">
        <w:rPr>
          <w:b/>
          <w:iCs/>
        </w:rPr>
        <w:t>časť</w:t>
      </w:r>
      <w:proofErr w:type="spellEnd"/>
      <w:r w:rsidR="00641B94">
        <w:rPr>
          <w:b/>
          <w:iCs/>
        </w:rPr>
        <w:t xml:space="preserve">: </w:t>
      </w:r>
      <w:proofErr w:type="spellStart"/>
      <w:r w:rsidR="00641B94">
        <w:rPr>
          <w:b/>
          <w:iCs/>
        </w:rPr>
        <w:t>Liečivá</w:t>
      </w:r>
      <w:proofErr w:type="spellEnd"/>
      <w:r w:rsidR="00641B94">
        <w:rPr>
          <w:b/>
          <w:iCs/>
        </w:rPr>
        <w:t xml:space="preserve"> pre </w:t>
      </w:r>
      <w:proofErr w:type="spellStart"/>
      <w:r w:rsidR="00641B94">
        <w:rPr>
          <w:b/>
          <w:iCs/>
        </w:rPr>
        <w:t>poruchy</w:t>
      </w:r>
      <w:proofErr w:type="spellEnd"/>
      <w:r w:rsidR="00641B94">
        <w:rPr>
          <w:b/>
          <w:iCs/>
        </w:rPr>
        <w:t xml:space="preserve"> </w:t>
      </w:r>
      <w:proofErr w:type="spellStart"/>
      <w:r w:rsidR="00641B94">
        <w:rPr>
          <w:b/>
          <w:iCs/>
        </w:rPr>
        <w:t>súvisiace</w:t>
      </w:r>
      <w:proofErr w:type="spellEnd"/>
      <w:r w:rsidR="00641B94">
        <w:rPr>
          <w:b/>
          <w:iCs/>
        </w:rPr>
        <w:t xml:space="preserve"> s </w:t>
      </w:r>
      <w:proofErr w:type="spellStart"/>
      <w:r w:rsidR="00641B94">
        <w:rPr>
          <w:b/>
          <w:iCs/>
        </w:rPr>
        <w:t>kyselinou</w:t>
      </w:r>
      <w:proofErr w:type="spellEnd"/>
      <w:r w:rsidR="00641B94">
        <w:rPr>
          <w:b/>
          <w:iCs/>
        </w:rPr>
        <w:t xml:space="preserve">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bookmarkEnd w:id="7"/>
    <w:p w14:paraId="34A12817" w14:textId="77777777" w:rsidR="00FF1747" w:rsidRDefault="00FF1747" w:rsidP="004441B8">
      <w:pPr>
        <w:rPr>
          <w:sz w:val="22"/>
          <w:szCs w:val="22"/>
        </w:rPr>
      </w:pPr>
    </w:p>
    <w:p w14:paraId="056F8044" w14:textId="77777777" w:rsidR="002D2ADC" w:rsidRDefault="004441B8" w:rsidP="004441B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59EE77A5" w14:textId="51910D02" w:rsidR="00641B94" w:rsidRDefault="00641B94" w:rsidP="00641B94">
      <w:pPr>
        <w:rPr>
          <w:b/>
          <w:iCs/>
        </w:rPr>
      </w:pPr>
      <w:bookmarkStart w:id="12" w:name="_Hlk127860531"/>
      <w:bookmarkStart w:id="13" w:name="_Hlk118870497"/>
      <w:proofErr w:type="spellStart"/>
      <w:r>
        <w:rPr>
          <w:b/>
          <w:iCs/>
        </w:rPr>
        <w:t>II.časť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Antidiarhoiká</w:t>
      </w:r>
      <w:proofErr w:type="spellEnd"/>
      <w:r>
        <w:rPr>
          <w:b/>
          <w:iCs/>
        </w:rPr>
        <w:t xml:space="preserve">, </w:t>
      </w:r>
      <w:proofErr w:type="spellStart"/>
      <w:r>
        <w:rPr>
          <w:b/>
          <w:iCs/>
        </w:rPr>
        <w:t>črevné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protizápalové</w:t>
      </w:r>
      <w:proofErr w:type="spellEnd"/>
      <w:r>
        <w:rPr>
          <w:b/>
          <w:iCs/>
        </w:rPr>
        <w:t>/</w:t>
      </w:r>
      <w:proofErr w:type="spellStart"/>
      <w:r>
        <w:rPr>
          <w:b/>
          <w:iCs/>
        </w:rPr>
        <w:t>protiinfekkčné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činidlá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č.1</w:t>
      </w:r>
    </w:p>
    <w:bookmarkEnd w:id="12"/>
    <w:p w14:paraId="6B96B208" w14:textId="1C2C11D0" w:rsidR="00641B94" w:rsidRDefault="00641B94" w:rsidP="00641B94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41B94">
        <w:rPr>
          <w:rFonts w:ascii="TimesNewRomanPSMT" w:hAnsi="TimesNewRomanPSMT" w:cs="TimesNewRomanPSMT"/>
          <w:lang w:eastAsia="sk-SK"/>
        </w:rPr>
        <w:t>Verejný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obstarávateľ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r u š í v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zmysle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§ 57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ods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. 1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písm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b)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zákona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o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verejnom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obstarávaní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r w:rsidRPr="00641B94">
        <w:rPr>
          <w:sz w:val="23"/>
          <w:szCs w:val="23"/>
        </w:rPr>
        <w:t xml:space="preserve">a o </w:t>
      </w:r>
      <w:proofErr w:type="spellStart"/>
      <w:r w:rsidRPr="00641B94">
        <w:rPr>
          <w:sz w:val="23"/>
          <w:szCs w:val="23"/>
        </w:rPr>
        <w:t>zmene</w:t>
      </w:r>
      <w:proofErr w:type="spellEnd"/>
      <w:r w:rsidRPr="00641B94">
        <w:rPr>
          <w:sz w:val="23"/>
          <w:szCs w:val="23"/>
        </w:rPr>
        <w:t xml:space="preserve"> a </w:t>
      </w:r>
      <w:proofErr w:type="spellStart"/>
      <w:r w:rsidRPr="00641B94">
        <w:rPr>
          <w:sz w:val="23"/>
          <w:szCs w:val="23"/>
        </w:rPr>
        <w:t>doplnení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niektorých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zákonov</w:t>
      </w:r>
      <w:proofErr w:type="spellEnd"/>
      <w:r w:rsidRPr="00641B94">
        <w:rPr>
          <w:sz w:val="23"/>
          <w:szCs w:val="23"/>
        </w:rPr>
        <w:t xml:space="preserve"> v </w:t>
      </w:r>
      <w:proofErr w:type="spellStart"/>
      <w:r w:rsidRPr="00641B94">
        <w:rPr>
          <w:sz w:val="23"/>
          <w:szCs w:val="23"/>
        </w:rPr>
        <w:t>znení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neskorších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predpisov</w:t>
      </w:r>
      <w:proofErr w:type="spellEnd"/>
      <w:r w:rsidRPr="00641B94">
        <w:rPr>
          <w:sz w:val="23"/>
          <w:szCs w:val="23"/>
        </w:rPr>
        <w:t xml:space="preserve"> (</w:t>
      </w:r>
      <w:proofErr w:type="spellStart"/>
      <w:r w:rsidRPr="00641B94">
        <w:rPr>
          <w:sz w:val="23"/>
          <w:szCs w:val="23"/>
        </w:rPr>
        <w:t>ďalej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len</w:t>
      </w:r>
      <w:proofErr w:type="spellEnd"/>
      <w:r w:rsidRPr="00641B94">
        <w:rPr>
          <w:sz w:val="23"/>
          <w:szCs w:val="23"/>
        </w:rPr>
        <w:t xml:space="preserve"> „</w:t>
      </w:r>
      <w:proofErr w:type="spellStart"/>
      <w:r w:rsidRPr="00641B94">
        <w:rPr>
          <w:sz w:val="23"/>
          <w:szCs w:val="23"/>
        </w:rPr>
        <w:t>zákon</w:t>
      </w:r>
      <w:proofErr w:type="spellEnd"/>
      <w:r w:rsidRPr="00641B94">
        <w:rPr>
          <w:sz w:val="23"/>
          <w:szCs w:val="23"/>
        </w:rPr>
        <w:t xml:space="preserve"> o </w:t>
      </w:r>
      <w:proofErr w:type="spellStart"/>
      <w:r w:rsidRPr="00641B94">
        <w:rPr>
          <w:sz w:val="23"/>
          <w:szCs w:val="23"/>
        </w:rPr>
        <w:t>verejnom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proofErr w:type="gramStart"/>
      <w:r w:rsidRPr="00641B94">
        <w:rPr>
          <w:sz w:val="23"/>
          <w:szCs w:val="23"/>
        </w:rPr>
        <w:t>obstarávaní</w:t>
      </w:r>
      <w:proofErr w:type="spellEnd"/>
      <w:r w:rsidRPr="00641B94">
        <w:rPr>
          <w:sz w:val="23"/>
          <w:szCs w:val="23"/>
        </w:rPr>
        <w:t>“</w:t>
      </w:r>
      <w:proofErr w:type="gramEnd"/>
      <w:r w:rsidRPr="00641B94">
        <w:rPr>
          <w:sz w:val="23"/>
          <w:szCs w:val="23"/>
        </w:rPr>
        <w:t xml:space="preserve">) </w:t>
      </w:r>
      <w:proofErr w:type="spellStart"/>
      <w:r w:rsidRPr="00641B94">
        <w:rPr>
          <w:sz w:val="23"/>
          <w:szCs w:val="23"/>
        </w:rPr>
        <w:t>použitý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postup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verejného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obstarávania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iCs/>
        </w:rPr>
        <w:t>II.časť</w:t>
      </w:r>
      <w:proofErr w:type="spellEnd"/>
      <w:r w:rsidRPr="00641B94">
        <w:rPr>
          <w:iCs/>
        </w:rPr>
        <w:t xml:space="preserve">: </w:t>
      </w:r>
      <w:proofErr w:type="spellStart"/>
      <w:r w:rsidRPr="00641B94">
        <w:rPr>
          <w:iCs/>
        </w:rPr>
        <w:t>Antidiarhoiká</w:t>
      </w:r>
      <w:proofErr w:type="spellEnd"/>
      <w:r w:rsidRPr="00641B94">
        <w:rPr>
          <w:iCs/>
        </w:rPr>
        <w:t xml:space="preserve">, </w:t>
      </w:r>
      <w:proofErr w:type="spellStart"/>
      <w:r w:rsidRPr="00641B94">
        <w:rPr>
          <w:iCs/>
        </w:rPr>
        <w:t>črevné</w:t>
      </w:r>
      <w:proofErr w:type="spellEnd"/>
      <w:r w:rsidRPr="00641B94">
        <w:rPr>
          <w:iCs/>
        </w:rPr>
        <w:t xml:space="preserve"> </w:t>
      </w:r>
      <w:proofErr w:type="spellStart"/>
      <w:r w:rsidRPr="00641B94">
        <w:rPr>
          <w:iCs/>
        </w:rPr>
        <w:t>protizápalové</w:t>
      </w:r>
      <w:proofErr w:type="spellEnd"/>
      <w:r w:rsidRPr="00641B94">
        <w:rPr>
          <w:iCs/>
        </w:rPr>
        <w:t>/</w:t>
      </w:r>
      <w:proofErr w:type="spellStart"/>
      <w:r w:rsidRPr="00641B94">
        <w:rPr>
          <w:iCs/>
        </w:rPr>
        <w:t>protiinfekkčné</w:t>
      </w:r>
      <w:proofErr w:type="spellEnd"/>
      <w:r w:rsidRPr="00641B94">
        <w:rPr>
          <w:iCs/>
        </w:rPr>
        <w:t xml:space="preserve"> </w:t>
      </w:r>
      <w:proofErr w:type="spellStart"/>
      <w:r w:rsidRPr="00641B94">
        <w:rPr>
          <w:iCs/>
        </w:rPr>
        <w:t>činidlá</w:t>
      </w:r>
      <w:proofErr w:type="spellEnd"/>
      <w:r w:rsidRPr="00641B94">
        <w:rPr>
          <w:iCs/>
        </w:rPr>
        <w:t xml:space="preserve"> </w:t>
      </w:r>
      <w:proofErr w:type="spellStart"/>
      <w:r w:rsidRPr="00641B94">
        <w:rPr>
          <w:iCs/>
        </w:rPr>
        <w:t>časť</w:t>
      </w:r>
      <w:proofErr w:type="spellEnd"/>
      <w:r w:rsidRPr="00641B94">
        <w:rPr>
          <w:iCs/>
        </w:rPr>
        <w:t xml:space="preserve"> č.1 </w:t>
      </w:r>
      <w:r w:rsidRPr="00641B94">
        <w:rPr>
          <w:rFonts w:ascii="TimesNewRomanPSMT" w:hAnsi="TimesNewRomanPSMT" w:cs="TimesNewRomanPSMT"/>
          <w:lang w:eastAsia="sk-SK"/>
        </w:rPr>
        <w:t xml:space="preserve"> z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dôvodu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,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403973">
        <w:rPr>
          <w:rFonts w:ascii="Arial" w:hAnsi="Arial" w:cs="Arial"/>
          <w:sz w:val="20"/>
          <w:szCs w:val="20"/>
          <w:lang w:eastAsia="sk-SK"/>
        </w:rPr>
        <w:t>.</w:t>
      </w:r>
      <w:r w:rsidRPr="00403973">
        <w:rPr>
          <w:rFonts w:ascii="Arial" w:hAnsi="Arial" w:cs="Arial"/>
          <w:sz w:val="20"/>
          <w:szCs w:val="20"/>
        </w:rPr>
        <w:t xml:space="preserve"> </w:t>
      </w:r>
    </w:p>
    <w:p w14:paraId="44ACD9DF" w14:textId="77777777" w:rsidR="00641B94" w:rsidRDefault="00641B94" w:rsidP="00641B94">
      <w:pPr>
        <w:rPr>
          <w:b/>
          <w:iCs/>
        </w:rPr>
      </w:pPr>
    </w:p>
    <w:p w14:paraId="7DB9CBD6" w14:textId="77777777" w:rsidR="00641B94" w:rsidRDefault="00641B94" w:rsidP="00641B94">
      <w:pPr>
        <w:rPr>
          <w:b/>
          <w:iCs/>
        </w:rPr>
      </w:pPr>
      <w:bookmarkStart w:id="14" w:name="_Hlk127860583"/>
      <w:proofErr w:type="spellStart"/>
      <w:r>
        <w:rPr>
          <w:b/>
          <w:iCs/>
        </w:rPr>
        <w:t>III.časť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Antidiarhoiká</w:t>
      </w:r>
      <w:proofErr w:type="spellEnd"/>
      <w:r>
        <w:rPr>
          <w:b/>
          <w:iCs/>
        </w:rPr>
        <w:t xml:space="preserve">, </w:t>
      </w:r>
      <w:proofErr w:type="spellStart"/>
      <w:r>
        <w:rPr>
          <w:b/>
          <w:iCs/>
        </w:rPr>
        <w:t>črevné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protizápalové</w:t>
      </w:r>
      <w:proofErr w:type="spellEnd"/>
      <w:r>
        <w:rPr>
          <w:b/>
          <w:iCs/>
        </w:rPr>
        <w:t>/</w:t>
      </w:r>
      <w:proofErr w:type="spellStart"/>
      <w:r>
        <w:rPr>
          <w:b/>
          <w:iCs/>
        </w:rPr>
        <w:t>protiinfekkčné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činidlá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č.2</w:t>
      </w:r>
    </w:p>
    <w:bookmarkEnd w:id="14"/>
    <w:p w14:paraId="7CD2D242" w14:textId="41DB6DDB" w:rsidR="00641B94" w:rsidRPr="00641B94" w:rsidRDefault="004441B8" w:rsidP="00641B94">
      <w:pPr>
        <w:rPr>
          <w:rFonts w:ascii="Arial" w:hAnsi="Arial" w:cs="Arial"/>
          <w:sz w:val="20"/>
          <w:szCs w:val="20"/>
        </w:rPr>
      </w:pPr>
      <w:r w:rsidRPr="0084687D">
        <w:rPr>
          <w:b/>
          <w:bCs/>
          <w:sz w:val="22"/>
          <w:szCs w:val="22"/>
        </w:rPr>
        <w:t xml:space="preserve"> </w:t>
      </w:r>
      <w:bookmarkStart w:id="15" w:name="_Hlk127860899"/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Verejný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obstarávateľ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 r u š í v </w:t>
      </w:r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zmysle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 § 57 </w:t>
      </w:r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ods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. 1 </w:t>
      </w:r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písm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 b) </w:t>
      </w:r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zákona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 o </w:t>
      </w:r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verejnom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obstarávaní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 </w:t>
      </w:r>
      <w:r w:rsidR="00641B94" w:rsidRPr="00641B94">
        <w:rPr>
          <w:sz w:val="23"/>
          <w:szCs w:val="23"/>
        </w:rPr>
        <w:t xml:space="preserve">a o </w:t>
      </w:r>
      <w:proofErr w:type="spellStart"/>
      <w:r w:rsidR="00641B94" w:rsidRPr="00641B94">
        <w:rPr>
          <w:sz w:val="23"/>
          <w:szCs w:val="23"/>
        </w:rPr>
        <w:t>zmene</w:t>
      </w:r>
      <w:proofErr w:type="spellEnd"/>
      <w:r w:rsidR="00641B94" w:rsidRPr="00641B94">
        <w:rPr>
          <w:sz w:val="23"/>
          <w:szCs w:val="23"/>
        </w:rPr>
        <w:t xml:space="preserve"> a </w:t>
      </w:r>
      <w:proofErr w:type="spellStart"/>
      <w:r w:rsidR="00641B94" w:rsidRPr="00641B94">
        <w:rPr>
          <w:sz w:val="23"/>
          <w:szCs w:val="23"/>
        </w:rPr>
        <w:t>doplnení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r w:rsidR="00641B94" w:rsidRPr="00641B94">
        <w:rPr>
          <w:sz w:val="23"/>
          <w:szCs w:val="23"/>
        </w:rPr>
        <w:t>niektorých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r w:rsidR="00641B94" w:rsidRPr="00641B94">
        <w:rPr>
          <w:sz w:val="23"/>
          <w:szCs w:val="23"/>
        </w:rPr>
        <w:t>zákonov</w:t>
      </w:r>
      <w:proofErr w:type="spellEnd"/>
      <w:r w:rsidR="00641B94" w:rsidRPr="00641B94">
        <w:rPr>
          <w:sz w:val="23"/>
          <w:szCs w:val="23"/>
        </w:rPr>
        <w:t xml:space="preserve"> v </w:t>
      </w:r>
      <w:proofErr w:type="spellStart"/>
      <w:r w:rsidR="00641B94" w:rsidRPr="00641B94">
        <w:rPr>
          <w:sz w:val="23"/>
          <w:szCs w:val="23"/>
        </w:rPr>
        <w:t>znení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r w:rsidR="00641B94" w:rsidRPr="00641B94">
        <w:rPr>
          <w:sz w:val="23"/>
          <w:szCs w:val="23"/>
        </w:rPr>
        <w:t>neskorších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r w:rsidR="00641B94" w:rsidRPr="00641B94">
        <w:rPr>
          <w:sz w:val="23"/>
          <w:szCs w:val="23"/>
        </w:rPr>
        <w:t>predpisov</w:t>
      </w:r>
      <w:proofErr w:type="spellEnd"/>
      <w:r w:rsidR="00641B94" w:rsidRPr="00641B94">
        <w:rPr>
          <w:sz w:val="23"/>
          <w:szCs w:val="23"/>
        </w:rPr>
        <w:t xml:space="preserve"> (</w:t>
      </w:r>
      <w:proofErr w:type="spellStart"/>
      <w:r w:rsidR="00641B94" w:rsidRPr="00641B94">
        <w:rPr>
          <w:sz w:val="23"/>
          <w:szCs w:val="23"/>
        </w:rPr>
        <w:t>ďalej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r w:rsidR="00641B94" w:rsidRPr="00641B94">
        <w:rPr>
          <w:sz w:val="23"/>
          <w:szCs w:val="23"/>
        </w:rPr>
        <w:t>len</w:t>
      </w:r>
      <w:proofErr w:type="spellEnd"/>
      <w:r w:rsidR="00641B94" w:rsidRPr="00641B94">
        <w:rPr>
          <w:sz w:val="23"/>
          <w:szCs w:val="23"/>
        </w:rPr>
        <w:t xml:space="preserve"> „</w:t>
      </w:r>
      <w:proofErr w:type="spellStart"/>
      <w:r w:rsidR="00641B94" w:rsidRPr="00641B94">
        <w:rPr>
          <w:sz w:val="23"/>
          <w:szCs w:val="23"/>
        </w:rPr>
        <w:t>zákon</w:t>
      </w:r>
      <w:proofErr w:type="spellEnd"/>
      <w:r w:rsidR="00641B94" w:rsidRPr="00641B94">
        <w:rPr>
          <w:sz w:val="23"/>
          <w:szCs w:val="23"/>
        </w:rPr>
        <w:t xml:space="preserve"> o </w:t>
      </w:r>
      <w:proofErr w:type="spellStart"/>
      <w:r w:rsidR="00641B94" w:rsidRPr="00641B94">
        <w:rPr>
          <w:sz w:val="23"/>
          <w:szCs w:val="23"/>
        </w:rPr>
        <w:t>verejnom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proofErr w:type="gramStart"/>
      <w:r w:rsidR="00641B94" w:rsidRPr="00641B94">
        <w:rPr>
          <w:sz w:val="23"/>
          <w:szCs w:val="23"/>
        </w:rPr>
        <w:t>obstarávaní</w:t>
      </w:r>
      <w:proofErr w:type="spellEnd"/>
      <w:r w:rsidR="00641B94" w:rsidRPr="00641B94">
        <w:rPr>
          <w:sz w:val="23"/>
          <w:szCs w:val="23"/>
        </w:rPr>
        <w:t>“</w:t>
      </w:r>
      <w:proofErr w:type="gramEnd"/>
      <w:r w:rsidR="00641B94" w:rsidRPr="00641B94">
        <w:rPr>
          <w:sz w:val="23"/>
          <w:szCs w:val="23"/>
        </w:rPr>
        <w:t xml:space="preserve">) </w:t>
      </w:r>
      <w:proofErr w:type="spellStart"/>
      <w:r w:rsidR="00641B94" w:rsidRPr="00641B94">
        <w:rPr>
          <w:sz w:val="23"/>
          <w:szCs w:val="23"/>
        </w:rPr>
        <w:t>použitý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r w:rsidR="00641B94" w:rsidRPr="00641B94">
        <w:rPr>
          <w:sz w:val="23"/>
          <w:szCs w:val="23"/>
        </w:rPr>
        <w:t>postup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r w:rsidR="00641B94" w:rsidRPr="00641B94">
        <w:rPr>
          <w:sz w:val="23"/>
          <w:szCs w:val="23"/>
        </w:rPr>
        <w:t>verejného</w:t>
      </w:r>
      <w:proofErr w:type="spellEnd"/>
      <w:r w:rsidR="00641B94" w:rsidRPr="00641B94">
        <w:rPr>
          <w:sz w:val="23"/>
          <w:szCs w:val="23"/>
        </w:rPr>
        <w:t xml:space="preserve"> </w:t>
      </w:r>
      <w:proofErr w:type="spellStart"/>
      <w:r w:rsidR="00641B94" w:rsidRPr="00641B94">
        <w:rPr>
          <w:sz w:val="23"/>
          <w:szCs w:val="23"/>
        </w:rPr>
        <w:t>obstarávania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 v </w:t>
      </w:r>
      <w:proofErr w:type="spellStart"/>
      <w:r w:rsidR="00641B94" w:rsidRPr="00641B94">
        <w:rPr>
          <w:iCs/>
        </w:rPr>
        <w:t>III.časť</w:t>
      </w:r>
      <w:proofErr w:type="spellEnd"/>
      <w:r w:rsidR="00641B94" w:rsidRPr="00641B94">
        <w:rPr>
          <w:iCs/>
        </w:rPr>
        <w:t xml:space="preserve">: </w:t>
      </w:r>
      <w:proofErr w:type="spellStart"/>
      <w:r w:rsidR="00641B94" w:rsidRPr="00641B94">
        <w:rPr>
          <w:iCs/>
        </w:rPr>
        <w:t>Antidiarhoiká</w:t>
      </w:r>
      <w:proofErr w:type="spellEnd"/>
      <w:r w:rsidR="00641B94" w:rsidRPr="00641B94">
        <w:rPr>
          <w:iCs/>
        </w:rPr>
        <w:t xml:space="preserve">, </w:t>
      </w:r>
      <w:proofErr w:type="spellStart"/>
      <w:r w:rsidR="00641B94" w:rsidRPr="00641B94">
        <w:rPr>
          <w:iCs/>
        </w:rPr>
        <w:t>črevné</w:t>
      </w:r>
      <w:proofErr w:type="spellEnd"/>
      <w:r w:rsidR="00641B94" w:rsidRPr="00641B94">
        <w:rPr>
          <w:iCs/>
        </w:rPr>
        <w:t xml:space="preserve"> </w:t>
      </w:r>
      <w:proofErr w:type="spellStart"/>
      <w:r w:rsidR="00641B94" w:rsidRPr="00641B94">
        <w:rPr>
          <w:iCs/>
        </w:rPr>
        <w:t>protizápalové</w:t>
      </w:r>
      <w:proofErr w:type="spellEnd"/>
      <w:r w:rsidR="00641B94" w:rsidRPr="00641B94">
        <w:rPr>
          <w:iCs/>
        </w:rPr>
        <w:t>/</w:t>
      </w:r>
      <w:proofErr w:type="spellStart"/>
      <w:r w:rsidR="00641B94" w:rsidRPr="00641B94">
        <w:rPr>
          <w:iCs/>
        </w:rPr>
        <w:t>protiinfekkčné</w:t>
      </w:r>
      <w:proofErr w:type="spellEnd"/>
      <w:r w:rsidR="00641B94" w:rsidRPr="00641B94">
        <w:rPr>
          <w:iCs/>
        </w:rPr>
        <w:t xml:space="preserve"> </w:t>
      </w:r>
      <w:proofErr w:type="spellStart"/>
      <w:r w:rsidR="00641B94" w:rsidRPr="00641B94">
        <w:rPr>
          <w:iCs/>
        </w:rPr>
        <w:t>činidlá</w:t>
      </w:r>
      <w:proofErr w:type="spellEnd"/>
      <w:r w:rsidR="00641B94" w:rsidRPr="00641B94">
        <w:rPr>
          <w:iCs/>
        </w:rPr>
        <w:t xml:space="preserve"> </w:t>
      </w:r>
      <w:proofErr w:type="spellStart"/>
      <w:r w:rsidR="00641B94" w:rsidRPr="00641B94">
        <w:rPr>
          <w:iCs/>
        </w:rPr>
        <w:t>časť</w:t>
      </w:r>
      <w:proofErr w:type="spellEnd"/>
      <w:r w:rsidR="00641B94" w:rsidRPr="00641B94">
        <w:rPr>
          <w:iCs/>
        </w:rPr>
        <w:t xml:space="preserve"> č.2</w:t>
      </w:r>
      <w:r w:rsidR="00641B94">
        <w:rPr>
          <w:iCs/>
        </w:rPr>
        <w:t xml:space="preserve"> </w:t>
      </w:r>
      <w:r w:rsidR="00641B94" w:rsidRPr="00641B94">
        <w:rPr>
          <w:rFonts w:ascii="TimesNewRomanPSMT" w:hAnsi="TimesNewRomanPSMT" w:cs="TimesNewRomanPSMT"/>
          <w:lang w:eastAsia="sk-SK"/>
        </w:rPr>
        <w:t xml:space="preserve">z </w:t>
      </w:r>
      <w:proofErr w:type="spellStart"/>
      <w:r w:rsidR="00641B94" w:rsidRPr="00641B94">
        <w:rPr>
          <w:rFonts w:ascii="TimesNewRomanPSMT" w:hAnsi="TimesNewRomanPSMT" w:cs="TimesNewRomanPSMT"/>
          <w:lang w:eastAsia="sk-SK"/>
        </w:rPr>
        <w:t>dôvodu</w:t>
      </w:r>
      <w:proofErr w:type="spellEnd"/>
      <w:r w:rsidR="00641B94" w:rsidRPr="00641B94">
        <w:rPr>
          <w:rFonts w:ascii="TimesNewRomanPSMT" w:hAnsi="TimesNewRomanPSMT" w:cs="TimesNewRomanPSMT"/>
          <w:lang w:eastAsia="sk-SK"/>
        </w:rPr>
        <w:t xml:space="preserve">, </w:t>
      </w:r>
      <w:proofErr w:type="spellStart"/>
      <w:r w:rsidR="00641B94" w:rsidRPr="00641B94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="00641B94"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641B94" w:rsidRPr="00641B94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="00641B94"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641B94" w:rsidRPr="00641B94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="00641B94" w:rsidRPr="00641B94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="00641B94" w:rsidRPr="00641B94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="00641B94"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="00641B94" w:rsidRPr="00641B94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="00641B94" w:rsidRPr="00641B94">
        <w:rPr>
          <w:rFonts w:ascii="Arial" w:hAnsi="Arial" w:cs="Arial"/>
          <w:sz w:val="20"/>
          <w:szCs w:val="20"/>
          <w:lang w:eastAsia="sk-SK"/>
        </w:rPr>
        <w:t>.</w:t>
      </w:r>
      <w:r w:rsidR="00641B94" w:rsidRPr="00641B94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6592B669" w14:textId="3ED9183A" w:rsidR="004441B8" w:rsidRPr="00641B94" w:rsidRDefault="004441B8" w:rsidP="004441B8">
      <w:pPr>
        <w:autoSpaceDE w:val="0"/>
        <w:autoSpaceDN w:val="0"/>
        <w:adjustRightInd w:val="0"/>
        <w:rPr>
          <w:sz w:val="22"/>
          <w:szCs w:val="22"/>
        </w:rPr>
      </w:pPr>
      <w:r w:rsidRPr="00641B94">
        <w:rPr>
          <w:sz w:val="22"/>
          <w:szCs w:val="22"/>
        </w:rPr>
        <w:lastRenderedPageBreak/>
        <w:t xml:space="preserve">                    </w:t>
      </w:r>
    </w:p>
    <w:bookmarkEnd w:id="13"/>
    <w:p w14:paraId="35944841" w14:textId="77777777" w:rsidR="0018192F" w:rsidRDefault="0018192F" w:rsidP="0018192F">
      <w:pPr>
        <w:rPr>
          <w:b/>
          <w:iCs/>
        </w:rPr>
      </w:pPr>
    </w:p>
    <w:p w14:paraId="7FCF0972" w14:textId="05EB792C" w:rsidR="0018192F" w:rsidRDefault="0018192F" w:rsidP="0018192F">
      <w:pPr>
        <w:rPr>
          <w:b/>
          <w:iCs/>
        </w:rPr>
      </w:pPr>
      <w:bookmarkStart w:id="16" w:name="_Hlk127860818"/>
      <w:proofErr w:type="spellStart"/>
      <w:r>
        <w:rPr>
          <w:b/>
          <w:iCs/>
        </w:rPr>
        <w:t>IV.časť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č.1</w:t>
      </w:r>
    </w:p>
    <w:bookmarkEnd w:id="16"/>
    <w:p w14:paraId="4BAC39E8" w14:textId="4C213458" w:rsidR="00DD1207" w:rsidRDefault="00DD1207" w:rsidP="00FF174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10"/>
    <w:bookmarkEnd w:id="11"/>
    <w:p w14:paraId="30EFCBB7" w14:textId="77777777" w:rsidR="0018192F" w:rsidRPr="00653FB5" w:rsidRDefault="0018192F" w:rsidP="0018192F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18192F" w:rsidRPr="00653FB5" w14:paraId="5B178073" w14:textId="77777777" w:rsidTr="00E37176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A6707F0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DA887EF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573BE82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603D2B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18192F" w:rsidRPr="00653FB5" w14:paraId="49B73F47" w14:textId="77777777" w:rsidTr="00E37176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2FA78FD9" w14:textId="77777777" w:rsidR="0018192F" w:rsidRDefault="0018192F" w:rsidP="00E37176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464A07" w14:textId="77777777" w:rsidR="0018192F" w:rsidRDefault="0018192F" w:rsidP="00E37176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592D25A" w14:textId="77777777" w:rsidR="0018192F" w:rsidRDefault="0018192F" w:rsidP="00E37176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C9C7812" w14:textId="24B0F485" w:rsidR="0018192F" w:rsidRDefault="0018192F" w:rsidP="00E37176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16384,9320</w:t>
            </w:r>
          </w:p>
        </w:tc>
      </w:tr>
    </w:tbl>
    <w:p w14:paraId="160360A3" w14:textId="77777777" w:rsidR="0018192F" w:rsidRDefault="0018192F" w:rsidP="0018192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1A9EF887" w14:textId="025062F0" w:rsidR="0018192F" w:rsidRPr="00575FF5" w:rsidRDefault="0018192F" w:rsidP="0018192F">
      <w:pPr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 xml:space="preserve">“)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b/>
          <w:iCs/>
        </w:rPr>
        <w:t>IV.časť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č.1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e</w:t>
      </w:r>
      <w:r w:rsidRPr="00575FF5">
        <w:rPr>
          <w:rFonts w:ascii="TimesNewRomanPSMT" w:hAnsi="TimesNewRomanPSMT" w:cs="TimesNewRomanPSMT"/>
          <w:b/>
          <w:bCs/>
          <w:lang w:eastAsia="sk-SK"/>
        </w:rPr>
        <w:t>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019F9509" w14:textId="77777777" w:rsidR="004C11EE" w:rsidRDefault="004C11EE" w:rsidP="0018192F">
      <w:pPr>
        <w:jc w:val="both"/>
        <w:rPr>
          <w:sz w:val="22"/>
          <w:szCs w:val="22"/>
        </w:rPr>
      </w:pPr>
    </w:p>
    <w:p w14:paraId="07A9F725" w14:textId="77777777" w:rsidR="004C11EE" w:rsidRDefault="004C11EE" w:rsidP="004C11EE">
      <w:pPr>
        <w:rPr>
          <w:sz w:val="22"/>
          <w:szCs w:val="22"/>
        </w:rPr>
      </w:pPr>
    </w:p>
    <w:p w14:paraId="7E6709D5" w14:textId="401DCD20" w:rsidR="0018192F" w:rsidRDefault="0018192F" w:rsidP="0018192F">
      <w:pPr>
        <w:rPr>
          <w:b/>
          <w:iCs/>
        </w:rPr>
      </w:pPr>
      <w:bookmarkStart w:id="17" w:name="_Hlk127860960"/>
      <w:proofErr w:type="spellStart"/>
      <w:r>
        <w:rPr>
          <w:b/>
          <w:iCs/>
        </w:rPr>
        <w:t>V.časť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č.2</w:t>
      </w:r>
    </w:p>
    <w:bookmarkEnd w:id="17"/>
    <w:p w14:paraId="778E89EC" w14:textId="6F6EA6C9" w:rsidR="0018192F" w:rsidRPr="00641B94" w:rsidRDefault="0018192F" w:rsidP="0018192F">
      <w:pPr>
        <w:rPr>
          <w:rFonts w:ascii="Arial" w:hAnsi="Arial" w:cs="Arial"/>
          <w:sz w:val="20"/>
          <w:szCs w:val="20"/>
        </w:rPr>
      </w:pPr>
      <w:proofErr w:type="spellStart"/>
      <w:r w:rsidRPr="00641B94">
        <w:rPr>
          <w:rFonts w:ascii="TimesNewRomanPSMT" w:hAnsi="TimesNewRomanPSMT" w:cs="TimesNewRomanPSMT"/>
          <w:lang w:eastAsia="sk-SK"/>
        </w:rPr>
        <w:t>Verejný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obstarávateľ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r u š í v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zmysle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§ 57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ods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. 1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písm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b)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zákona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o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verejnom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obstarávaní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r w:rsidRPr="00641B94">
        <w:rPr>
          <w:sz w:val="23"/>
          <w:szCs w:val="23"/>
        </w:rPr>
        <w:t xml:space="preserve">a o </w:t>
      </w:r>
      <w:proofErr w:type="spellStart"/>
      <w:r w:rsidRPr="00641B94">
        <w:rPr>
          <w:sz w:val="23"/>
          <w:szCs w:val="23"/>
        </w:rPr>
        <w:t>zmene</w:t>
      </w:r>
      <w:proofErr w:type="spellEnd"/>
      <w:r w:rsidRPr="00641B94">
        <w:rPr>
          <w:sz w:val="23"/>
          <w:szCs w:val="23"/>
        </w:rPr>
        <w:t xml:space="preserve"> a </w:t>
      </w:r>
      <w:proofErr w:type="spellStart"/>
      <w:r w:rsidRPr="00641B94">
        <w:rPr>
          <w:sz w:val="23"/>
          <w:szCs w:val="23"/>
        </w:rPr>
        <w:t>doplnení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niektorých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zákonov</w:t>
      </w:r>
      <w:proofErr w:type="spellEnd"/>
      <w:r w:rsidRPr="00641B94">
        <w:rPr>
          <w:sz w:val="23"/>
          <w:szCs w:val="23"/>
        </w:rPr>
        <w:t xml:space="preserve"> v </w:t>
      </w:r>
      <w:proofErr w:type="spellStart"/>
      <w:r w:rsidRPr="00641B94">
        <w:rPr>
          <w:sz w:val="23"/>
          <w:szCs w:val="23"/>
        </w:rPr>
        <w:t>znení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neskorších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predpisov</w:t>
      </w:r>
      <w:proofErr w:type="spellEnd"/>
      <w:r w:rsidRPr="00641B94">
        <w:rPr>
          <w:sz w:val="23"/>
          <w:szCs w:val="23"/>
        </w:rPr>
        <w:t xml:space="preserve"> (</w:t>
      </w:r>
      <w:proofErr w:type="spellStart"/>
      <w:r w:rsidRPr="00641B94">
        <w:rPr>
          <w:sz w:val="23"/>
          <w:szCs w:val="23"/>
        </w:rPr>
        <w:t>ďalej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len</w:t>
      </w:r>
      <w:proofErr w:type="spellEnd"/>
      <w:r w:rsidRPr="00641B94">
        <w:rPr>
          <w:sz w:val="23"/>
          <w:szCs w:val="23"/>
        </w:rPr>
        <w:t xml:space="preserve"> „</w:t>
      </w:r>
      <w:proofErr w:type="spellStart"/>
      <w:r w:rsidRPr="00641B94">
        <w:rPr>
          <w:sz w:val="23"/>
          <w:szCs w:val="23"/>
        </w:rPr>
        <w:t>zákon</w:t>
      </w:r>
      <w:proofErr w:type="spellEnd"/>
      <w:r w:rsidRPr="00641B94">
        <w:rPr>
          <w:sz w:val="23"/>
          <w:szCs w:val="23"/>
        </w:rPr>
        <w:t xml:space="preserve"> o </w:t>
      </w:r>
      <w:proofErr w:type="spellStart"/>
      <w:r w:rsidRPr="00641B94">
        <w:rPr>
          <w:sz w:val="23"/>
          <w:szCs w:val="23"/>
        </w:rPr>
        <w:t>verejnom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obstarávaní</w:t>
      </w:r>
      <w:proofErr w:type="spellEnd"/>
      <w:r w:rsidRPr="00641B94">
        <w:rPr>
          <w:sz w:val="23"/>
          <w:szCs w:val="23"/>
        </w:rPr>
        <w:t xml:space="preserve">“) </w:t>
      </w:r>
      <w:proofErr w:type="spellStart"/>
      <w:r w:rsidRPr="00641B94">
        <w:rPr>
          <w:sz w:val="23"/>
          <w:szCs w:val="23"/>
        </w:rPr>
        <w:t>použitý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postup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verejného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obstarávania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v </w:t>
      </w:r>
      <w:proofErr w:type="spellStart"/>
      <w:r>
        <w:rPr>
          <w:b/>
          <w:iCs/>
        </w:rPr>
        <w:t>V.časť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č.2 </w:t>
      </w:r>
      <w:r>
        <w:rPr>
          <w:iCs/>
        </w:rPr>
        <w:t xml:space="preserve"> </w:t>
      </w:r>
      <w:r w:rsidRPr="00641B94">
        <w:rPr>
          <w:rFonts w:ascii="TimesNewRomanPSMT" w:hAnsi="TimesNewRomanPSMT" w:cs="TimesNewRomanPSMT"/>
          <w:lang w:eastAsia="sk-SK"/>
        </w:rPr>
        <w:t xml:space="preserve">z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dôvodu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,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>.</w:t>
      </w:r>
      <w:r w:rsidRPr="00641B94">
        <w:rPr>
          <w:rFonts w:ascii="Arial" w:hAnsi="Arial" w:cs="Arial"/>
          <w:sz w:val="20"/>
          <w:szCs w:val="20"/>
        </w:rPr>
        <w:t xml:space="preserve"> </w:t>
      </w:r>
    </w:p>
    <w:p w14:paraId="52532728" w14:textId="77777777" w:rsidR="0018192F" w:rsidRDefault="0018192F" w:rsidP="0018192F">
      <w:pPr>
        <w:rPr>
          <w:b/>
          <w:iCs/>
        </w:rPr>
      </w:pPr>
    </w:p>
    <w:p w14:paraId="59A809D5" w14:textId="65E536C3" w:rsidR="00F62F44" w:rsidRDefault="00F62F44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2572D579" w14:textId="41744C63" w:rsidR="0018192F" w:rsidRDefault="0018192F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25A34C1B" w14:textId="04AB6EFF" w:rsidR="0018192F" w:rsidRDefault="0018192F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3FCDCF2E" w14:textId="5591E76F" w:rsidR="0018192F" w:rsidRDefault="0018192F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5968715A" w14:textId="16D17658" w:rsidR="0018192F" w:rsidRDefault="0018192F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0A463B24" w14:textId="66E74943" w:rsidR="0018192F" w:rsidRDefault="0018192F" w:rsidP="0018192F">
      <w:pPr>
        <w:rPr>
          <w:b/>
          <w:iCs/>
        </w:rPr>
      </w:pPr>
      <w:bookmarkStart w:id="18" w:name="_Hlk127861038"/>
      <w:proofErr w:type="spellStart"/>
      <w:r>
        <w:rPr>
          <w:b/>
          <w:iCs/>
        </w:rPr>
        <w:t>VI.časť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3</w:t>
      </w:r>
    </w:p>
    <w:bookmarkEnd w:id="18"/>
    <w:p w14:paraId="7CB5CFFA" w14:textId="687A2E36" w:rsidR="0018192F" w:rsidRDefault="0018192F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1F4F380B" w14:textId="77777777" w:rsidR="0018192F" w:rsidRPr="00653FB5" w:rsidRDefault="0018192F" w:rsidP="0018192F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18192F" w:rsidRPr="00653FB5" w14:paraId="14586894" w14:textId="77777777" w:rsidTr="00E37176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3D25C494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CF33FA6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ADDB3FF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64F1EAB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18192F" w:rsidRPr="00653FB5" w14:paraId="4ECC61DC" w14:textId="77777777" w:rsidTr="00E37176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1EB0C32B" w14:textId="77777777" w:rsidR="0018192F" w:rsidRDefault="0018192F" w:rsidP="00E37176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3C1472" w14:textId="77777777" w:rsidR="0018192F" w:rsidRDefault="0018192F" w:rsidP="00E37176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1E952B9" w14:textId="77777777" w:rsidR="0018192F" w:rsidRDefault="0018192F" w:rsidP="00E37176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17600B" w14:textId="35489515" w:rsidR="0018192F" w:rsidRDefault="0018192F" w:rsidP="00E37176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38758,7000</w:t>
            </w:r>
          </w:p>
        </w:tc>
      </w:tr>
    </w:tbl>
    <w:p w14:paraId="11D302ED" w14:textId="77777777" w:rsidR="0018192F" w:rsidRDefault="0018192F" w:rsidP="0018192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6723F4F1" w14:textId="4DA5F008" w:rsidR="0018192F" w:rsidRDefault="0018192F" w:rsidP="0018192F">
      <w:pPr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lastRenderedPageBreak/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b/>
          <w:iCs/>
        </w:rPr>
        <w:t>VI.časť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3 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71F64775" w14:textId="10204A91" w:rsidR="0018192F" w:rsidRDefault="0018192F" w:rsidP="0018192F">
      <w:pPr>
        <w:jc w:val="both"/>
        <w:rPr>
          <w:b/>
          <w:bCs/>
        </w:rPr>
      </w:pPr>
    </w:p>
    <w:p w14:paraId="41D96847" w14:textId="4C825032" w:rsidR="0018192F" w:rsidRDefault="0018192F" w:rsidP="0018192F">
      <w:pPr>
        <w:jc w:val="both"/>
        <w:rPr>
          <w:b/>
          <w:bCs/>
        </w:rPr>
      </w:pPr>
    </w:p>
    <w:p w14:paraId="4ACD1CDA" w14:textId="2C5361AA" w:rsidR="0018192F" w:rsidRDefault="0018192F" w:rsidP="0018192F">
      <w:pPr>
        <w:rPr>
          <w:b/>
          <w:iCs/>
        </w:rPr>
      </w:pPr>
      <w:proofErr w:type="spellStart"/>
      <w:r>
        <w:rPr>
          <w:b/>
          <w:iCs/>
        </w:rPr>
        <w:t>VII.časť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4</w:t>
      </w:r>
    </w:p>
    <w:p w14:paraId="6170A688" w14:textId="4FEA14B0" w:rsidR="0018192F" w:rsidRPr="00641B94" w:rsidRDefault="0018192F" w:rsidP="0018192F">
      <w:pPr>
        <w:rPr>
          <w:rFonts w:ascii="Arial" w:hAnsi="Arial" w:cs="Arial"/>
          <w:sz w:val="20"/>
          <w:szCs w:val="20"/>
        </w:rPr>
      </w:pPr>
      <w:proofErr w:type="spellStart"/>
      <w:r w:rsidRPr="00641B94">
        <w:rPr>
          <w:rFonts w:ascii="TimesNewRomanPSMT" w:hAnsi="TimesNewRomanPSMT" w:cs="TimesNewRomanPSMT"/>
          <w:lang w:eastAsia="sk-SK"/>
        </w:rPr>
        <w:t>Verejný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obstarávateľ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r u š í v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zmysle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§ 57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ods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. 1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písm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b)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zákona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o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verejnom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obstarávaní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r w:rsidRPr="00641B94">
        <w:rPr>
          <w:sz w:val="23"/>
          <w:szCs w:val="23"/>
        </w:rPr>
        <w:t xml:space="preserve">a o </w:t>
      </w:r>
      <w:proofErr w:type="spellStart"/>
      <w:r w:rsidRPr="00641B94">
        <w:rPr>
          <w:sz w:val="23"/>
          <w:szCs w:val="23"/>
        </w:rPr>
        <w:t>zmene</w:t>
      </w:r>
      <w:proofErr w:type="spellEnd"/>
      <w:r w:rsidRPr="00641B94">
        <w:rPr>
          <w:sz w:val="23"/>
          <w:szCs w:val="23"/>
        </w:rPr>
        <w:t xml:space="preserve"> a </w:t>
      </w:r>
      <w:proofErr w:type="spellStart"/>
      <w:r w:rsidRPr="00641B94">
        <w:rPr>
          <w:sz w:val="23"/>
          <w:szCs w:val="23"/>
        </w:rPr>
        <w:t>doplnení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niektorých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zákonov</w:t>
      </w:r>
      <w:proofErr w:type="spellEnd"/>
      <w:r w:rsidRPr="00641B94">
        <w:rPr>
          <w:sz w:val="23"/>
          <w:szCs w:val="23"/>
        </w:rPr>
        <w:t xml:space="preserve"> v </w:t>
      </w:r>
      <w:proofErr w:type="spellStart"/>
      <w:r w:rsidRPr="00641B94">
        <w:rPr>
          <w:sz w:val="23"/>
          <w:szCs w:val="23"/>
        </w:rPr>
        <w:t>znení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neskorších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predpisov</w:t>
      </w:r>
      <w:proofErr w:type="spellEnd"/>
      <w:r w:rsidRPr="00641B94">
        <w:rPr>
          <w:sz w:val="23"/>
          <w:szCs w:val="23"/>
        </w:rPr>
        <w:t xml:space="preserve"> (</w:t>
      </w:r>
      <w:proofErr w:type="spellStart"/>
      <w:r w:rsidRPr="00641B94">
        <w:rPr>
          <w:sz w:val="23"/>
          <w:szCs w:val="23"/>
        </w:rPr>
        <w:t>ďalej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len</w:t>
      </w:r>
      <w:proofErr w:type="spellEnd"/>
      <w:r w:rsidRPr="00641B94">
        <w:rPr>
          <w:sz w:val="23"/>
          <w:szCs w:val="23"/>
        </w:rPr>
        <w:t xml:space="preserve"> „</w:t>
      </w:r>
      <w:proofErr w:type="spellStart"/>
      <w:r w:rsidRPr="00641B94">
        <w:rPr>
          <w:sz w:val="23"/>
          <w:szCs w:val="23"/>
        </w:rPr>
        <w:t>zákon</w:t>
      </w:r>
      <w:proofErr w:type="spellEnd"/>
      <w:r w:rsidRPr="00641B94">
        <w:rPr>
          <w:sz w:val="23"/>
          <w:szCs w:val="23"/>
        </w:rPr>
        <w:t xml:space="preserve"> o </w:t>
      </w:r>
      <w:proofErr w:type="spellStart"/>
      <w:r w:rsidRPr="00641B94">
        <w:rPr>
          <w:sz w:val="23"/>
          <w:szCs w:val="23"/>
        </w:rPr>
        <w:t>verejnom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proofErr w:type="gramStart"/>
      <w:r w:rsidRPr="00641B94">
        <w:rPr>
          <w:sz w:val="23"/>
          <w:szCs w:val="23"/>
        </w:rPr>
        <w:t>obstarávaní</w:t>
      </w:r>
      <w:proofErr w:type="spellEnd"/>
      <w:r w:rsidRPr="00641B94">
        <w:rPr>
          <w:sz w:val="23"/>
          <w:szCs w:val="23"/>
        </w:rPr>
        <w:t>“</w:t>
      </w:r>
      <w:proofErr w:type="gramEnd"/>
      <w:r w:rsidRPr="00641B94">
        <w:rPr>
          <w:sz w:val="23"/>
          <w:szCs w:val="23"/>
        </w:rPr>
        <w:t xml:space="preserve">) </w:t>
      </w:r>
      <w:proofErr w:type="spellStart"/>
      <w:r w:rsidRPr="00641B94">
        <w:rPr>
          <w:sz w:val="23"/>
          <w:szCs w:val="23"/>
        </w:rPr>
        <w:t>použitý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postup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verejného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obstarávania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v </w:t>
      </w:r>
      <w:proofErr w:type="spellStart"/>
      <w:r>
        <w:rPr>
          <w:b/>
          <w:iCs/>
        </w:rPr>
        <w:t>VII.časť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4 </w:t>
      </w:r>
      <w:r>
        <w:rPr>
          <w:iCs/>
        </w:rPr>
        <w:t xml:space="preserve"> </w:t>
      </w:r>
      <w:r w:rsidRPr="00641B94">
        <w:rPr>
          <w:rFonts w:ascii="TimesNewRomanPSMT" w:hAnsi="TimesNewRomanPSMT" w:cs="TimesNewRomanPSMT"/>
          <w:lang w:eastAsia="sk-SK"/>
        </w:rPr>
        <w:t xml:space="preserve">z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dôvodu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,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>.</w:t>
      </w:r>
      <w:r w:rsidRPr="00641B94">
        <w:rPr>
          <w:rFonts w:ascii="Arial" w:hAnsi="Arial" w:cs="Arial"/>
          <w:sz w:val="20"/>
          <w:szCs w:val="20"/>
        </w:rPr>
        <w:t xml:space="preserve"> </w:t>
      </w:r>
    </w:p>
    <w:p w14:paraId="39B195AF" w14:textId="77777777" w:rsidR="0018192F" w:rsidRDefault="0018192F" w:rsidP="0018192F">
      <w:pPr>
        <w:rPr>
          <w:b/>
          <w:iCs/>
        </w:rPr>
      </w:pPr>
    </w:p>
    <w:p w14:paraId="15D6831D" w14:textId="77777777" w:rsidR="0018192F" w:rsidRDefault="0018192F" w:rsidP="0018192F">
      <w:pPr>
        <w:rPr>
          <w:b/>
          <w:iCs/>
        </w:rPr>
      </w:pPr>
    </w:p>
    <w:p w14:paraId="4825D92E" w14:textId="487EC6B2" w:rsidR="0018192F" w:rsidRDefault="0018192F" w:rsidP="0018192F">
      <w:pPr>
        <w:rPr>
          <w:b/>
          <w:iCs/>
        </w:rPr>
      </w:pPr>
      <w:proofErr w:type="spellStart"/>
      <w:r>
        <w:rPr>
          <w:b/>
          <w:iCs/>
        </w:rPr>
        <w:t>VIII.časť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5</w:t>
      </w:r>
    </w:p>
    <w:p w14:paraId="39D8ACC4" w14:textId="77777777" w:rsidR="0018192F" w:rsidRDefault="0018192F" w:rsidP="001819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48689F50" w14:textId="77777777" w:rsidR="0018192F" w:rsidRPr="00653FB5" w:rsidRDefault="0018192F" w:rsidP="0018192F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18192F" w:rsidRPr="00653FB5" w14:paraId="0E284337" w14:textId="77777777" w:rsidTr="00E37176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70B49E2B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C24DD38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D478217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B56708B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18192F" w:rsidRPr="00653FB5" w14:paraId="31DBD67E" w14:textId="77777777" w:rsidTr="00E37176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39A749BB" w14:textId="77777777" w:rsidR="0018192F" w:rsidRDefault="0018192F" w:rsidP="00E37176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45FFA" w14:textId="77777777" w:rsidR="0018192F" w:rsidRDefault="0018192F" w:rsidP="00E37176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45A2D9E1" w14:textId="77777777" w:rsidR="0018192F" w:rsidRDefault="0018192F" w:rsidP="00E37176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8D6156" w14:textId="280E60E2" w:rsidR="0018192F" w:rsidRDefault="0018192F" w:rsidP="00E37176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1447,9500</w:t>
            </w:r>
          </w:p>
        </w:tc>
      </w:tr>
    </w:tbl>
    <w:p w14:paraId="59C066BB" w14:textId="77777777" w:rsidR="0018192F" w:rsidRDefault="0018192F" w:rsidP="0018192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4531EE4C" w14:textId="00CAE07E" w:rsidR="0018192F" w:rsidRDefault="0018192F" w:rsidP="0018192F">
      <w:pPr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b/>
          <w:iCs/>
        </w:rPr>
        <w:t>VIII.časť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5  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3E4B774A" w14:textId="77777777" w:rsidR="0018192F" w:rsidRPr="00575FF5" w:rsidRDefault="0018192F" w:rsidP="0018192F">
      <w:pPr>
        <w:jc w:val="both"/>
        <w:rPr>
          <w:b/>
          <w:bCs/>
        </w:rPr>
      </w:pPr>
    </w:p>
    <w:p w14:paraId="324BC19B" w14:textId="77777777" w:rsidR="0018192F" w:rsidRDefault="0018192F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72550DD6" w14:textId="2C58C77C" w:rsidR="0018192F" w:rsidRDefault="0018192F" w:rsidP="0018192F">
      <w:pPr>
        <w:rPr>
          <w:b/>
          <w:iCs/>
        </w:rPr>
      </w:pPr>
      <w:proofErr w:type="spellStart"/>
      <w:r>
        <w:rPr>
          <w:b/>
          <w:iCs/>
        </w:rPr>
        <w:t>IX.časť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6</w:t>
      </w:r>
    </w:p>
    <w:p w14:paraId="4400CA0C" w14:textId="77777777" w:rsidR="0018192F" w:rsidRDefault="0018192F" w:rsidP="0018192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6D53F936" w14:textId="77777777" w:rsidR="0018192F" w:rsidRPr="00653FB5" w:rsidRDefault="0018192F" w:rsidP="0018192F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18192F" w:rsidRPr="00653FB5" w14:paraId="468B5B56" w14:textId="77777777" w:rsidTr="00E37176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98C7810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CE6E9EF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1A953C9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8001751" w14:textId="77777777" w:rsidR="0018192F" w:rsidRPr="00653FB5" w:rsidRDefault="0018192F" w:rsidP="00E37176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18192F" w:rsidRPr="00653FB5" w14:paraId="385706C6" w14:textId="77777777" w:rsidTr="00E37176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B3BD512" w14:textId="77777777" w:rsidR="0018192F" w:rsidRDefault="0018192F" w:rsidP="00E37176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19" w:name="_Hlk127861365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6A03C7" w14:textId="77777777" w:rsidR="0018192F" w:rsidRDefault="0018192F" w:rsidP="00E37176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B1FED65" w14:textId="77777777" w:rsidR="0018192F" w:rsidRDefault="0018192F" w:rsidP="00E37176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E2F828" w14:textId="76D36161" w:rsidR="0018192F" w:rsidRDefault="0018192F" w:rsidP="00E37176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95309,8900</w:t>
            </w:r>
          </w:p>
        </w:tc>
      </w:tr>
    </w:tbl>
    <w:bookmarkEnd w:id="19"/>
    <w:p w14:paraId="3D9AEEF2" w14:textId="77777777" w:rsidR="0084687D" w:rsidRPr="0084687D" w:rsidRDefault="0084687D" w:rsidP="008468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4687D">
        <w:rPr>
          <w:b/>
          <w:bCs/>
          <w:sz w:val="22"/>
          <w:szCs w:val="22"/>
        </w:rPr>
        <w:t xml:space="preserve">                     </w:t>
      </w:r>
    </w:p>
    <w:p w14:paraId="7BCD9240" w14:textId="12A7355E" w:rsidR="0084687D" w:rsidRDefault="0084687D" w:rsidP="0018192F">
      <w:pPr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lastRenderedPageBreak/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IČO:31625657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že jeho ponuku  predloženú vo verejnom obstarávaní s názvom </w:t>
      </w:r>
      <w:r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„ </w:t>
      </w:r>
      <w:proofErr w:type="spellStart"/>
      <w:r w:rsidR="0018192F">
        <w:rPr>
          <w:b/>
          <w:iCs/>
        </w:rPr>
        <w:t>IX.časť</w:t>
      </w:r>
      <w:proofErr w:type="spellEnd"/>
      <w:r w:rsidR="0018192F">
        <w:rPr>
          <w:b/>
          <w:iCs/>
        </w:rPr>
        <w:t xml:space="preserve">: </w:t>
      </w:r>
      <w:proofErr w:type="spellStart"/>
      <w:r w:rsidR="0018192F">
        <w:rPr>
          <w:b/>
          <w:iCs/>
        </w:rPr>
        <w:t>Liečivá</w:t>
      </w:r>
      <w:proofErr w:type="spellEnd"/>
      <w:r w:rsidR="0018192F">
        <w:rPr>
          <w:b/>
          <w:iCs/>
        </w:rPr>
        <w:t xml:space="preserve"> pre </w:t>
      </w:r>
      <w:proofErr w:type="spellStart"/>
      <w:r w:rsidR="0018192F">
        <w:rPr>
          <w:b/>
          <w:iCs/>
        </w:rPr>
        <w:t>výživovú</w:t>
      </w:r>
      <w:proofErr w:type="spellEnd"/>
      <w:r w:rsidR="0018192F">
        <w:rPr>
          <w:b/>
          <w:iCs/>
        </w:rPr>
        <w:t xml:space="preserve"> </w:t>
      </w:r>
      <w:proofErr w:type="spellStart"/>
      <w:r w:rsidR="0018192F">
        <w:rPr>
          <w:b/>
          <w:iCs/>
        </w:rPr>
        <w:t>sústavu</w:t>
      </w:r>
      <w:proofErr w:type="spellEnd"/>
      <w:r w:rsidR="0018192F">
        <w:rPr>
          <w:b/>
          <w:iCs/>
        </w:rPr>
        <w:t xml:space="preserve"> a </w:t>
      </w:r>
      <w:proofErr w:type="spellStart"/>
      <w:r w:rsidR="0018192F">
        <w:rPr>
          <w:b/>
          <w:iCs/>
        </w:rPr>
        <w:t>látkovú</w:t>
      </w:r>
      <w:proofErr w:type="spellEnd"/>
      <w:r w:rsidR="0018192F">
        <w:rPr>
          <w:b/>
          <w:iCs/>
        </w:rPr>
        <w:t xml:space="preserve"> </w:t>
      </w:r>
      <w:proofErr w:type="spellStart"/>
      <w:r w:rsidR="0018192F">
        <w:rPr>
          <w:b/>
          <w:iCs/>
        </w:rPr>
        <w:t>premenu</w:t>
      </w:r>
      <w:proofErr w:type="spellEnd"/>
      <w:r w:rsidR="0018192F">
        <w:rPr>
          <w:b/>
          <w:iCs/>
        </w:rPr>
        <w:t xml:space="preserve"> </w:t>
      </w:r>
      <w:proofErr w:type="spellStart"/>
      <w:r w:rsidR="0018192F">
        <w:rPr>
          <w:b/>
          <w:iCs/>
        </w:rPr>
        <w:t>časť</w:t>
      </w:r>
      <w:proofErr w:type="spellEnd"/>
      <w:r w:rsidR="0018192F">
        <w:rPr>
          <w:b/>
          <w:iCs/>
        </w:rPr>
        <w:t xml:space="preserve"> č. 6 </w:t>
      </w:r>
      <w:proofErr w:type="gram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="0069696E">
        <w:rPr>
          <w:rFonts w:ascii="Verdana" w:hAnsi="Verdana" w:cstheme="minorHAnsi"/>
          <w:sz w:val="18"/>
          <w:szCs w:val="18"/>
          <w:lang w:val="sk-SK" w:eastAsia="ar-SA"/>
        </w:rPr>
        <w:t>-</w:t>
      </w:r>
      <w:proofErr w:type="gramEnd"/>
      <w:r w:rsidR="0069696E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r w:rsidRPr="0084687D">
        <w:rPr>
          <w:rFonts w:ascii="Verdana" w:hAnsi="Verdana" w:cstheme="minorHAnsi"/>
          <w:b/>
          <w:bCs/>
          <w:sz w:val="18"/>
          <w:szCs w:val="18"/>
          <w:lang w:val="sk-SK" w:eastAsia="ar-SA"/>
        </w:rPr>
        <w:t>verejný obstarávateľ prijíma</w:t>
      </w:r>
    </w:p>
    <w:p w14:paraId="3163A91B" w14:textId="3A24650F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0A4E62E6" w14:textId="77777777" w:rsidR="0084687D" w:rsidRPr="00F62F44" w:rsidRDefault="0084687D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6B09942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Identifikácia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3FF43D2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141EBFC3" w14:textId="77777777" w:rsidR="0069696E" w:rsidRDefault="00F62F44" w:rsidP="0069696E">
      <w:pPr>
        <w:rPr>
          <w:b/>
          <w:iCs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proofErr w:type="gramStart"/>
      <w:r w:rsidR="0069696E">
        <w:rPr>
          <w:b/>
          <w:iCs/>
        </w:rPr>
        <w:t>IX.časť</w:t>
      </w:r>
      <w:proofErr w:type="spellEnd"/>
      <w:proofErr w:type="gramEnd"/>
      <w:r w:rsidR="0069696E">
        <w:rPr>
          <w:b/>
          <w:iCs/>
        </w:rPr>
        <w:t xml:space="preserve">: </w:t>
      </w:r>
      <w:proofErr w:type="spellStart"/>
      <w:r w:rsidR="0069696E">
        <w:rPr>
          <w:b/>
          <w:iCs/>
        </w:rPr>
        <w:t>Liečivá</w:t>
      </w:r>
      <w:proofErr w:type="spellEnd"/>
      <w:r w:rsidR="0069696E">
        <w:rPr>
          <w:b/>
          <w:iCs/>
        </w:rPr>
        <w:t xml:space="preserve"> pre </w:t>
      </w:r>
      <w:proofErr w:type="spellStart"/>
      <w:r w:rsidR="0069696E">
        <w:rPr>
          <w:b/>
          <w:iCs/>
        </w:rPr>
        <w:t>výživovú</w:t>
      </w:r>
      <w:proofErr w:type="spellEnd"/>
      <w:r w:rsidR="0069696E">
        <w:rPr>
          <w:b/>
          <w:iCs/>
        </w:rPr>
        <w:t xml:space="preserve"> </w:t>
      </w:r>
      <w:proofErr w:type="spellStart"/>
      <w:r w:rsidR="0069696E">
        <w:rPr>
          <w:b/>
          <w:iCs/>
        </w:rPr>
        <w:t>sústavu</w:t>
      </w:r>
      <w:proofErr w:type="spellEnd"/>
      <w:r w:rsidR="0069696E">
        <w:rPr>
          <w:b/>
          <w:iCs/>
        </w:rPr>
        <w:t xml:space="preserve"> a </w:t>
      </w:r>
      <w:proofErr w:type="spellStart"/>
      <w:r w:rsidR="0069696E">
        <w:rPr>
          <w:b/>
          <w:iCs/>
        </w:rPr>
        <w:t>látkovú</w:t>
      </w:r>
      <w:proofErr w:type="spellEnd"/>
      <w:r w:rsidR="0069696E">
        <w:rPr>
          <w:b/>
          <w:iCs/>
        </w:rPr>
        <w:t xml:space="preserve"> </w:t>
      </w:r>
      <w:proofErr w:type="spellStart"/>
      <w:r w:rsidR="0069696E">
        <w:rPr>
          <w:b/>
          <w:iCs/>
        </w:rPr>
        <w:t>premenu</w:t>
      </w:r>
      <w:proofErr w:type="spellEnd"/>
      <w:r w:rsidR="0069696E">
        <w:rPr>
          <w:b/>
          <w:iCs/>
        </w:rPr>
        <w:t xml:space="preserve"> </w:t>
      </w:r>
      <w:proofErr w:type="spellStart"/>
      <w:r w:rsidR="0069696E">
        <w:rPr>
          <w:b/>
          <w:iCs/>
        </w:rPr>
        <w:t>časť</w:t>
      </w:r>
      <w:proofErr w:type="spellEnd"/>
      <w:r w:rsidR="0069696E">
        <w:rPr>
          <w:b/>
          <w:iCs/>
        </w:rPr>
        <w:t xml:space="preserve"> č. 6</w:t>
      </w:r>
    </w:p>
    <w:p w14:paraId="17DB32FA" w14:textId="01D302B5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stal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spol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  <w:r w:rsidR="009B738C" w:rsidRPr="009B738C">
        <w:t xml:space="preserve"> </w:t>
      </w:r>
      <w:proofErr w:type="spellStart"/>
      <w:r w:rsidR="0069696E">
        <w:t>Unipharma</w:t>
      </w:r>
      <w:proofErr w:type="spellEnd"/>
      <w:r w:rsidR="0069696E">
        <w:t xml:space="preserve">, 1. </w:t>
      </w:r>
      <w:proofErr w:type="spellStart"/>
      <w:r w:rsidR="0069696E">
        <w:t>Slovenská</w:t>
      </w:r>
      <w:proofErr w:type="spellEnd"/>
      <w:r w:rsidR="0069696E">
        <w:t xml:space="preserve"> </w:t>
      </w:r>
      <w:proofErr w:type="spellStart"/>
      <w:r w:rsidR="0069696E">
        <w:t>lekárnická</w:t>
      </w:r>
      <w:proofErr w:type="spellEnd"/>
      <w:r w:rsidR="0069696E">
        <w:t xml:space="preserve"> </w:t>
      </w:r>
      <w:proofErr w:type="spellStart"/>
      <w:r w:rsidR="0069696E">
        <w:t>a.s.</w:t>
      </w:r>
      <w:proofErr w:type="spellEnd"/>
      <w:r w:rsidR="0069696E">
        <w:t xml:space="preserve">, </w:t>
      </w:r>
      <w:proofErr w:type="spellStart"/>
      <w:r w:rsidR="0069696E">
        <w:t>Opatovská</w:t>
      </w:r>
      <w:proofErr w:type="spellEnd"/>
      <w:r w:rsidR="0069696E">
        <w:t xml:space="preserve"> cesta 4, </w:t>
      </w:r>
      <w:proofErr w:type="spellStart"/>
      <w:proofErr w:type="gramStart"/>
      <w:r w:rsidR="0069696E">
        <w:t>Bojnice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>,</w:t>
      </w:r>
      <w:proofErr w:type="gram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Slovenská republika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</w:p>
    <w:p w14:paraId="4F3F5592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4BC2971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§32 ZVO –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výpis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hospodárskych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subjektov</w:t>
      </w:r>
      <w:proofErr w:type="spellEnd"/>
    </w:p>
    <w:p w14:paraId="032AE0B1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1EFA948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ekonomické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finančné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33 ZVO</w:t>
      </w:r>
    </w:p>
    <w:p w14:paraId="0E210206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235757C7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u w:val="single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§ 33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pobočky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zahraničnej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</w:p>
    <w:p w14:paraId="68CF3E97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čestné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bankách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ktorým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proofErr w:type="gramStart"/>
      <w:r w:rsidRPr="00F62F44">
        <w:rPr>
          <w:rFonts w:ascii="Verdana" w:hAnsi="Verdana" w:cstheme="minorHAnsi"/>
          <w:sz w:val="18"/>
          <w:szCs w:val="18"/>
          <w:lang w:eastAsia="ar-SA"/>
        </w:rPr>
        <w:t>nemá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záväzky</w:t>
      </w:r>
      <w:proofErr w:type="spellEnd"/>
      <w:proofErr w:type="gramEnd"/>
    </w:p>
    <w:p w14:paraId="71A103C4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491A590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Uchádzač splnil technickú a odbornú spôsobilosť § 34 ZVO</w:t>
      </w:r>
    </w:p>
    <w:p w14:paraId="12D6783A" w14:textId="0588E849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predchádzajúce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tri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od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súhrnnej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hodnote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minimálne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u w:val="single"/>
          <w:lang w:eastAsia="ar-SA"/>
        </w:rPr>
        <w:t>50 000 EUR bez DPH</w:t>
      </w:r>
    </w:p>
    <w:p w14:paraId="48CF0743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- uchádzač predložil referencie v zmysle súťažných podkladov</w:t>
      </w:r>
    </w:p>
    <w:p w14:paraId="4956660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295592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  <w:r w:rsidRPr="00F62F44">
        <w:rPr>
          <w:rFonts w:ascii="Verdana" w:hAnsi="Verdana" w:cstheme="minorHAnsi"/>
          <w:sz w:val="18"/>
          <w:szCs w:val="18"/>
          <w:lang w:val="sk-SK" w:eastAsia="ar-SA" w:bidi="sk-SK"/>
        </w:rPr>
        <w:t>-uchádzač predložil: Povolenie na veľkodistribúciu liekov</w:t>
      </w:r>
    </w:p>
    <w:p w14:paraId="068A575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</w:p>
    <w:p w14:paraId="6AB9F23C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Odôvodnenie výberu úspešného uchádzača: </w:t>
      </w:r>
    </w:p>
    <w:p w14:paraId="7A8EC800" w14:textId="33B20C90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="0069696E" w:rsidRPr="00F62F44">
        <w:rPr>
          <w:rFonts w:ascii="Verdana" w:hAnsi="Verdana" w:cstheme="minorHAnsi"/>
          <w:sz w:val="18"/>
          <w:szCs w:val="18"/>
          <w:lang w:eastAsia="ar-SA"/>
        </w:rPr>
        <w:t>spol</w:t>
      </w:r>
      <w:proofErr w:type="spellEnd"/>
      <w:r w:rsidR="0069696E" w:rsidRPr="00F62F44">
        <w:rPr>
          <w:rFonts w:ascii="Verdana" w:hAnsi="Verdana" w:cstheme="minorHAnsi"/>
          <w:sz w:val="18"/>
          <w:szCs w:val="18"/>
          <w:lang w:eastAsia="ar-SA"/>
        </w:rPr>
        <w:t>.</w:t>
      </w:r>
      <w:r w:rsidR="0069696E" w:rsidRPr="009B738C">
        <w:t xml:space="preserve"> </w:t>
      </w:r>
      <w:proofErr w:type="spellStart"/>
      <w:r w:rsidR="0069696E">
        <w:t>Unipharma</w:t>
      </w:r>
      <w:proofErr w:type="spellEnd"/>
      <w:r w:rsidR="0069696E">
        <w:t xml:space="preserve">, 1. </w:t>
      </w:r>
      <w:proofErr w:type="spellStart"/>
      <w:r w:rsidR="0069696E">
        <w:t>Slovenská</w:t>
      </w:r>
      <w:proofErr w:type="spellEnd"/>
      <w:r w:rsidR="0069696E">
        <w:t xml:space="preserve"> </w:t>
      </w:r>
      <w:proofErr w:type="spellStart"/>
      <w:r w:rsidR="0069696E">
        <w:t>lekárnická</w:t>
      </w:r>
      <w:proofErr w:type="spellEnd"/>
      <w:r w:rsidR="0069696E">
        <w:t xml:space="preserve"> </w:t>
      </w:r>
      <w:proofErr w:type="spellStart"/>
      <w:r w:rsidR="0069696E">
        <w:t>a.s.</w:t>
      </w:r>
      <w:proofErr w:type="spellEnd"/>
      <w:r w:rsidR="0069696E">
        <w:t xml:space="preserve">, </w:t>
      </w:r>
      <w:proofErr w:type="spellStart"/>
      <w:r w:rsidR="0069696E">
        <w:t>Opatovská</w:t>
      </w:r>
      <w:proofErr w:type="spellEnd"/>
      <w:r w:rsidR="0069696E">
        <w:t xml:space="preserve"> cesta 4, </w:t>
      </w:r>
      <w:proofErr w:type="spellStart"/>
      <w:proofErr w:type="gramStart"/>
      <w:r w:rsidR="0069696E">
        <w:t>Bojnice</w:t>
      </w:r>
      <w:proofErr w:type="spellEnd"/>
      <w:r w:rsidR="0069696E"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="0069696E" w:rsidRPr="00F62F44">
        <w:rPr>
          <w:rFonts w:ascii="Verdana" w:hAnsi="Verdana" w:cstheme="minorHAnsi"/>
          <w:sz w:val="18"/>
          <w:szCs w:val="18"/>
          <w:lang w:val="sk-SK" w:eastAsia="ar-SA"/>
        </w:rPr>
        <w:t>,</w:t>
      </w:r>
      <w:proofErr w:type="gramEnd"/>
      <w:r w:rsidR="0069696E"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Slovenská republika</w:t>
      </w:r>
      <w:r w:rsidR="0069696E"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bCs/>
          <w:sz w:val="18"/>
          <w:szCs w:val="18"/>
          <w:lang w:eastAsia="ar-SA"/>
        </w:rPr>
        <w:t>pred</w:t>
      </w:r>
      <w:r w:rsidRPr="00F62F44">
        <w:rPr>
          <w:rFonts w:ascii="Verdana" w:hAnsi="Verdana" w:cstheme="minorHAnsi"/>
          <w:sz w:val="18"/>
          <w:szCs w:val="18"/>
          <w:lang w:eastAsia="ar-SA"/>
        </w:rPr>
        <w:t>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celkovú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cenu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bez DPH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výške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 </w:t>
      </w:r>
      <w:r w:rsidR="0069696E">
        <w:rPr>
          <w:rFonts w:ascii="Verdana" w:hAnsi="Verdana" w:cstheme="minorHAnsi"/>
          <w:sz w:val="18"/>
          <w:szCs w:val="18"/>
          <w:lang w:eastAsia="ar-SA"/>
        </w:rPr>
        <w:t>95309,8900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EUR.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konštatovala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ponuka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vyhovuje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všetkým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požiadavkám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špecifikáciám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zmysle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výzvy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predkladanie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súťažných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podkladov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spracovaných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k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tejto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</w:t>
      </w:r>
    </w:p>
    <w:p w14:paraId="529BB0E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9DE15A3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Oznámenie ponuky nie je možné pokladať za uzavretie zmluvy.</w:t>
      </w:r>
    </w:p>
    <w:p w14:paraId="17F0DCE4" w14:textId="1585D39E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Komisia zriadená verejným obstarávateľom odporúča verejnému obstarávateľovi, aby prijal ponuku úspešného uchádzača v časti </w:t>
      </w:r>
      <w:proofErr w:type="spellStart"/>
      <w:r w:rsidR="0069696E">
        <w:rPr>
          <w:b/>
          <w:iCs/>
        </w:rPr>
        <w:t>IX.časť</w:t>
      </w:r>
      <w:proofErr w:type="spellEnd"/>
      <w:r w:rsidR="0069696E">
        <w:rPr>
          <w:b/>
          <w:iCs/>
        </w:rPr>
        <w:t xml:space="preserve">: </w:t>
      </w:r>
      <w:proofErr w:type="spellStart"/>
      <w:r w:rsidR="0069696E">
        <w:rPr>
          <w:b/>
          <w:iCs/>
        </w:rPr>
        <w:t>Liečivá</w:t>
      </w:r>
      <w:proofErr w:type="spellEnd"/>
      <w:r w:rsidR="0069696E">
        <w:rPr>
          <w:b/>
          <w:iCs/>
        </w:rPr>
        <w:t xml:space="preserve"> pre </w:t>
      </w:r>
      <w:proofErr w:type="spellStart"/>
      <w:r w:rsidR="0069696E">
        <w:rPr>
          <w:b/>
          <w:iCs/>
        </w:rPr>
        <w:t>výživovú</w:t>
      </w:r>
      <w:proofErr w:type="spellEnd"/>
      <w:r w:rsidR="0069696E">
        <w:rPr>
          <w:b/>
          <w:iCs/>
        </w:rPr>
        <w:t xml:space="preserve"> </w:t>
      </w:r>
      <w:proofErr w:type="spellStart"/>
      <w:r w:rsidR="0069696E">
        <w:rPr>
          <w:b/>
          <w:iCs/>
        </w:rPr>
        <w:t>sústavu</w:t>
      </w:r>
      <w:proofErr w:type="spellEnd"/>
      <w:r w:rsidR="0069696E">
        <w:rPr>
          <w:b/>
          <w:iCs/>
        </w:rPr>
        <w:t xml:space="preserve"> a </w:t>
      </w:r>
      <w:proofErr w:type="spellStart"/>
      <w:r w:rsidR="0069696E">
        <w:rPr>
          <w:b/>
          <w:iCs/>
        </w:rPr>
        <w:t>látkovú</w:t>
      </w:r>
      <w:proofErr w:type="spellEnd"/>
      <w:r w:rsidR="0069696E">
        <w:rPr>
          <w:b/>
          <w:iCs/>
        </w:rPr>
        <w:t xml:space="preserve"> </w:t>
      </w:r>
      <w:proofErr w:type="spellStart"/>
      <w:r w:rsidR="0069696E">
        <w:rPr>
          <w:b/>
          <w:iCs/>
        </w:rPr>
        <w:t>premenu</w:t>
      </w:r>
      <w:proofErr w:type="spellEnd"/>
      <w:r w:rsidR="0069696E">
        <w:rPr>
          <w:b/>
          <w:iCs/>
        </w:rPr>
        <w:t xml:space="preserve"> </w:t>
      </w:r>
      <w:proofErr w:type="spellStart"/>
      <w:r w:rsidR="0069696E">
        <w:rPr>
          <w:b/>
          <w:iCs/>
        </w:rPr>
        <w:t>časť</w:t>
      </w:r>
      <w:proofErr w:type="spellEnd"/>
      <w:r w:rsidR="0069696E">
        <w:rPr>
          <w:b/>
          <w:iCs/>
        </w:rPr>
        <w:t xml:space="preserve"> č. 6 </w:t>
      </w:r>
      <w:r w:rsidR="0069696E"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="0069696E">
        <w:rPr>
          <w:rFonts w:ascii="Verdana" w:hAnsi="Verdana" w:cstheme="minorHAnsi"/>
          <w:sz w:val="18"/>
          <w:szCs w:val="18"/>
          <w:lang w:val="sk-SK" w:eastAsia="ar-SA"/>
        </w:rPr>
        <w:t>.</w:t>
      </w:r>
      <w:r w:rsidR="0069696E"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Zmluva môže byť uzatvorená v súlade s ustanovením § 56 zákona o verejnom obstarávaní </w:t>
      </w:r>
    </w:p>
    <w:p w14:paraId="52D7FCAC" w14:textId="5014BC07" w:rsidR="00E23345" w:rsidRDefault="00E23345" w:rsidP="00E23345">
      <w:pPr>
        <w:rPr>
          <w:b/>
          <w:iCs/>
        </w:rPr>
      </w:pPr>
      <w:proofErr w:type="spellStart"/>
      <w:r>
        <w:rPr>
          <w:b/>
          <w:iCs/>
        </w:rPr>
        <w:t>X.časť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7</w:t>
      </w:r>
    </w:p>
    <w:p w14:paraId="43052B6D" w14:textId="2C50626F" w:rsidR="00E23345" w:rsidRPr="00641B94" w:rsidRDefault="00E23345" w:rsidP="00E23345">
      <w:pPr>
        <w:rPr>
          <w:rFonts w:ascii="Arial" w:hAnsi="Arial" w:cs="Arial"/>
          <w:sz w:val="20"/>
          <w:szCs w:val="20"/>
        </w:rPr>
      </w:pPr>
      <w:proofErr w:type="spellStart"/>
      <w:r w:rsidRPr="00641B94">
        <w:rPr>
          <w:rFonts w:ascii="TimesNewRomanPSMT" w:hAnsi="TimesNewRomanPSMT" w:cs="TimesNewRomanPSMT"/>
          <w:lang w:eastAsia="sk-SK"/>
        </w:rPr>
        <w:t>Verejný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obstarávateľ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r u š í v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zmysle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§ 57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ods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. 1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písm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b)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zákona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o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verejnom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obstarávaní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</w:t>
      </w:r>
      <w:r w:rsidRPr="00641B94">
        <w:rPr>
          <w:sz w:val="23"/>
          <w:szCs w:val="23"/>
        </w:rPr>
        <w:t xml:space="preserve">a o </w:t>
      </w:r>
      <w:proofErr w:type="spellStart"/>
      <w:r w:rsidRPr="00641B94">
        <w:rPr>
          <w:sz w:val="23"/>
          <w:szCs w:val="23"/>
        </w:rPr>
        <w:t>zmene</w:t>
      </w:r>
      <w:proofErr w:type="spellEnd"/>
      <w:r w:rsidRPr="00641B94">
        <w:rPr>
          <w:sz w:val="23"/>
          <w:szCs w:val="23"/>
        </w:rPr>
        <w:t xml:space="preserve"> a </w:t>
      </w:r>
      <w:proofErr w:type="spellStart"/>
      <w:r w:rsidRPr="00641B94">
        <w:rPr>
          <w:sz w:val="23"/>
          <w:szCs w:val="23"/>
        </w:rPr>
        <w:t>doplnení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niektorých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zákonov</w:t>
      </w:r>
      <w:proofErr w:type="spellEnd"/>
      <w:r w:rsidRPr="00641B94">
        <w:rPr>
          <w:sz w:val="23"/>
          <w:szCs w:val="23"/>
        </w:rPr>
        <w:t xml:space="preserve"> v </w:t>
      </w:r>
      <w:proofErr w:type="spellStart"/>
      <w:r w:rsidRPr="00641B94">
        <w:rPr>
          <w:sz w:val="23"/>
          <w:szCs w:val="23"/>
        </w:rPr>
        <w:t>znení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neskorších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predpisov</w:t>
      </w:r>
      <w:proofErr w:type="spellEnd"/>
      <w:r w:rsidRPr="00641B94">
        <w:rPr>
          <w:sz w:val="23"/>
          <w:szCs w:val="23"/>
        </w:rPr>
        <w:t xml:space="preserve"> (</w:t>
      </w:r>
      <w:proofErr w:type="spellStart"/>
      <w:r w:rsidRPr="00641B94">
        <w:rPr>
          <w:sz w:val="23"/>
          <w:szCs w:val="23"/>
        </w:rPr>
        <w:t>ďalej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len</w:t>
      </w:r>
      <w:proofErr w:type="spellEnd"/>
      <w:r w:rsidRPr="00641B94">
        <w:rPr>
          <w:sz w:val="23"/>
          <w:szCs w:val="23"/>
        </w:rPr>
        <w:t xml:space="preserve"> „</w:t>
      </w:r>
      <w:proofErr w:type="spellStart"/>
      <w:r w:rsidRPr="00641B94">
        <w:rPr>
          <w:sz w:val="23"/>
          <w:szCs w:val="23"/>
        </w:rPr>
        <w:t>zákon</w:t>
      </w:r>
      <w:proofErr w:type="spellEnd"/>
      <w:r w:rsidRPr="00641B94">
        <w:rPr>
          <w:sz w:val="23"/>
          <w:szCs w:val="23"/>
        </w:rPr>
        <w:t xml:space="preserve"> o </w:t>
      </w:r>
      <w:proofErr w:type="spellStart"/>
      <w:r w:rsidRPr="00641B94">
        <w:rPr>
          <w:sz w:val="23"/>
          <w:szCs w:val="23"/>
        </w:rPr>
        <w:t>verejnom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proofErr w:type="gramStart"/>
      <w:r w:rsidRPr="00641B94">
        <w:rPr>
          <w:sz w:val="23"/>
          <w:szCs w:val="23"/>
        </w:rPr>
        <w:t>obstarávaní</w:t>
      </w:r>
      <w:proofErr w:type="spellEnd"/>
      <w:r w:rsidRPr="00641B94">
        <w:rPr>
          <w:sz w:val="23"/>
          <w:szCs w:val="23"/>
        </w:rPr>
        <w:t>“</w:t>
      </w:r>
      <w:proofErr w:type="gramEnd"/>
      <w:r w:rsidRPr="00641B94">
        <w:rPr>
          <w:sz w:val="23"/>
          <w:szCs w:val="23"/>
        </w:rPr>
        <w:t xml:space="preserve">) </w:t>
      </w:r>
      <w:proofErr w:type="spellStart"/>
      <w:r w:rsidRPr="00641B94">
        <w:rPr>
          <w:sz w:val="23"/>
          <w:szCs w:val="23"/>
        </w:rPr>
        <w:t>použitý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postup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verejného</w:t>
      </w:r>
      <w:proofErr w:type="spellEnd"/>
      <w:r w:rsidRPr="00641B94">
        <w:rPr>
          <w:sz w:val="23"/>
          <w:szCs w:val="23"/>
        </w:rPr>
        <w:t xml:space="preserve"> </w:t>
      </w:r>
      <w:proofErr w:type="spellStart"/>
      <w:r w:rsidRPr="00641B94">
        <w:rPr>
          <w:sz w:val="23"/>
          <w:szCs w:val="23"/>
        </w:rPr>
        <w:t>obstarávania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lang w:eastAsia="sk-SK"/>
        </w:rPr>
        <w:t>X</w:t>
      </w:r>
      <w:r>
        <w:rPr>
          <w:b/>
          <w:iCs/>
        </w:rPr>
        <w:t>.časť</w:t>
      </w:r>
      <w:proofErr w:type="spellEnd"/>
      <w:r>
        <w:rPr>
          <w:b/>
          <w:iCs/>
        </w:rPr>
        <w:t xml:space="preserve">: </w:t>
      </w:r>
      <w:proofErr w:type="spellStart"/>
      <w:r>
        <w:rPr>
          <w:b/>
          <w:iCs/>
        </w:rPr>
        <w:t>Liečivá</w:t>
      </w:r>
      <w:proofErr w:type="spellEnd"/>
      <w:r>
        <w:rPr>
          <w:b/>
          <w:iCs/>
        </w:rPr>
        <w:t xml:space="preserve"> pre </w:t>
      </w:r>
      <w:proofErr w:type="spellStart"/>
      <w:r>
        <w:rPr>
          <w:b/>
          <w:iCs/>
        </w:rPr>
        <w:t>výživovú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sústavu</w:t>
      </w:r>
      <w:proofErr w:type="spellEnd"/>
      <w:r>
        <w:rPr>
          <w:b/>
          <w:iCs/>
        </w:rPr>
        <w:t xml:space="preserve"> a </w:t>
      </w:r>
      <w:proofErr w:type="spellStart"/>
      <w:r>
        <w:rPr>
          <w:b/>
          <w:iCs/>
        </w:rPr>
        <w:t>látkovú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premenu</w:t>
      </w:r>
      <w:proofErr w:type="spellEnd"/>
      <w:r>
        <w:rPr>
          <w:b/>
          <w:iCs/>
        </w:rPr>
        <w:t xml:space="preserve"> </w:t>
      </w:r>
      <w:proofErr w:type="spellStart"/>
      <w:r>
        <w:rPr>
          <w:b/>
          <w:iCs/>
        </w:rPr>
        <w:t>časť</w:t>
      </w:r>
      <w:proofErr w:type="spellEnd"/>
      <w:r>
        <w:rPr>
          <w:b/>
          <w:iCs/>
        </w:rPr>
        <w:t xml:space="preserve"> č. 7 </w:t>
      </w:r>
      <w:r>
        <w:rPr>
          <w:iCs/>
        </w:rPr>
        <w:t xml:space="preserve"> </w:t>
      </w:r>
      <w:r w:rsidRPr="00641B94">
        <w:rPr>
          <w:rFonts w:ascii="TimesNewRomanPSMT" w:hAnsi="TimesNewRomanPSMT" w:cs="TimesNewRomanPSMT"/>
          <w:lang w:eastAsia="sk-SK"/>
        </w:rPr>
        <w:t xml:space="preserve">z </w:t>
      </w:r>
      <w:proofErr w:type="spellStart"/>
      <w:r w:rsidRPr="00641B94">
        <w:rPr>
          <w:rFonts w:ascii="TimesNewRomanPSMT" w:hAnsi="TimesNewRomanPSMT" w:cs="TimesNewRomanPSMT"/>
          <w:lang w:eastAsia="sk-SK"/>
        </w:rPr>
        <w:t>dôvodu</w:t>
      </w:r>
      <w:proofErr w:type="spellEnd"/>
      <w:r w:rsidRPr="00641B94">
        <w:rPr>
          <w:rFonts w:ascii="TimesNewRomanPSMT" w:hAnsi="TimesNewRomanPSMT" w:cs="TimesNewRomanPSMT"/>
          <w:lang w:eastAsia="sk-SK"/>
        </w:rPr>
        <w:t xml:space="preserve">,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že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nebola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predložená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ani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jedna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641B94">
        <w:rPr>
          <w:rFonts w:ascii="Arial" w:hAnsi="Arial" w:cs="Arial"/>
          <w:sz w:val="20"/>
          <w:szCs w:val="20"/>
          <w:lang w:eastAsia="sk-SK"/>
        </w:rPr>
        <w:t>ponuka</w:t>
      </w:r>
      <w:proofErr w:type="spellEnd"/>
      <w:r w:rsidRPr="00641B94">
        <w:rPr>
          <w:rFonts w:ascii="Arial" w:hAnsi="Arial" w:cs="Arial"/>
          <w:sz w:val="20"/>
          <w:szCs w:val="20"/>
          <w:lang w:eastAsia="sk-SK"/>
        </w:rPr>
        <w:t>.</w:t>
      </w:r>
      <w:r w:rsidRPr="00641B94">
        <w:rPr>
          <w:rFonts w:ascii="Arial" w:hAnsi="Arial" w:cs="Arial"/>
          <w:sz w:val="20"/>
          <w:szCs w:val="20"/>
        </w:rPr>
        <w:t xml:space="preserve"> </w:t>
      </w:r>
    </w:p>
    <w:p w14:paraId="385FBF60" w14:textId="77777777" w:rsidR="00E23345" w:rsidRDefault="00E23345" w:rsidP="00E23345">
      <w:pPr>
        <w:rPr>
          <w:b/>
          <w:iCs/>
        </w:rPr>
      </w:pPr>
    </w:p>
    <w:p w14:paraId="0E56E608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zriadená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účelom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procese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zadávania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odporúča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obstarávateľovi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vyzvať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poskytnutie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riadnej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súčinnosti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aby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mohla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byť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príslušnými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ustanoveniami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56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t.j.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uzatvoriť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šestnásty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použití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prostriedkov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elektronickej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komunikácie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§20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jedenásty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 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nebude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žiadosť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nápravu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resp.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36C37428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lastRenderedPageBreak/>
        <w:t>Osoba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a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034C05AA" w14:textId="2110331D" w:rsid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0695D23F" w14:textId="2F7883BE" w:rsidR="00F15509" w:rsidRDefault="00F15509" w:rsidP="00F15509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D62D7A8" w14:textId="77777777" w:rsidR="00736B17" w:rsidRPr="00403973" w:rsidRDefault="00736B17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13F81463" w:rsidR="00602635" w:rsidRDefault="00602635" w:rsidP="00602635">
      <w:pPr>
        <w:suppressAutoHyphens/>
        <w:spacing w:after="240"/>
        <w:jc w:val="both"/>
        <w:rPr>
          <w:lang w:val="sk-SK" w:eastAsia="ar-SA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4B8753A5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21A0B876" w14:textId="2DD14057" w:rsidR="00736B17" w:rsidRDefault="00736B17" w:rsidP="00CE35DE">
      <w:pPr>
        <w:jc w:val="both"/>
      </w:pPr>
    </w:p>
    <w:p w14:paraId="4F9E094B" w14:textId="77777777" w:rsidR="00736B17" w:rsidRPr="00403973" w:rsidRDefault="00736B17" w:rsidP="00CE35DE">
      <w:pPr>
        <w:jc w:val="both"/>
        <w:rPr>
          <w:b/>
        </w:rPr>
      </w:pPr>
    </w:p>
    <w:p w14:paraId="49182E3A" w14:textId="0C0E0F7C" w:rsidR="00403973" w:rsidRDefault="00403973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>S pozdravom</w:t>
      </w:r>
    </w:p>
    <w:p w14:paraId="3687A443" w14:textId="70F73E8B" w:rsidR="00403973" w:rsidRDefault="00403973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8274438" w14:textId="7570FD92" w:rsidR="002D2ADC" w:rsidRDefault="002D2AD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ABCB318" w14:textId="77777777" w:rsidR="002D2ADC" w:rsidRDefault="002D2AD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015B0833" w14:textId="77777777" w:rsidR="00FF1747" w:rsidRDefault="00FF1747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79081B18" w14:textId="77777777" w:rsidR="00DD1207" w:rsidRDefault="00403973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                                                                                           </w:t>
      </w:r>
      <w:r w:rsidR="00DD1207">
        <w:rPr>
          <w:rFonts w:ascii="Verdana" w:hAnsi="Verdana" w:cstheme="minorHAnsi"/>
          <w:sz w:val="18"/>
          <w:szCs w:val="18"/>
          <w:lang w:val="sk-SK" w:eastAsia="ar-SA"/>
        </w:rPr>
        <w:t>Mgr. Eduard Dorčík</w:t>
      </w:r>
    </w:p>
    <w:p w14:paraId="28DBCDDE" w14:textId="3F2FBF9A" w:rsidR="00403973" w:rsidRDefault="00DD1207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>
        <w:rPr>
          <w:rFonts w:ascii="Verdana" w:hAnsi="Verdana" w:cstheme="minorHAnsi"/>
          <w:sz w:val="18"/>
          <w:szCs w:val="18"/>
          <w:lang w:val="sk-SK" w:eastAsia="ar-SA"/>
        </w:rPr>
        <w:t xml:space="preserve">                                                                                                 riaditeľ FNsP</w:t>
      </w:r>
      <w:r w:rsidR="00403973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</w:p>
    <w:bookmarkEnd w:id="0"/>
    <w:p w14:paraId="0CD02CCA" w14:textId="3E68DE94" w:rsidR="00AC0928" w:rsidRDefault="00AC0928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582FA151" w14:textId="364C7A31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EF87481" w14:textId="0C9A5661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7F06EBA" w14:textId="7DD4A4D7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1C4D30D" w14:textId="56E178CE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2E463EF" w14:textId="2EDA8D49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16AEB9C" w14:textId="162FD752" w:rsidR="005E2CB4" w:rsidRDefault="005E2CB4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4642AD9" w14:textId="51CC9A4D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1486326" w14:textId="41108737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2201DBA" w14:textId="15212CC2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4BECD31" w14:textId="16D2ABEB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B1A050E" w14:textId="2040A3C8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AD8043F" w14:textId="7C27E7DC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bookmarkEnd w:id="1"/>
    <w:p w14:paraId="21F6D03F" w14:textId="149FB4F7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4DEE246C" w14:textId="43F82205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213DEB0A" w14:textId="5F6EB493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512525B" w14:textId="1AEE3691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FB0136B" w14:textId="60E5D94B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CCE01E3" w14:textId="77777777" w:rsidR="009B738C" w:rsidRDefault="009B738C" w:rsidP="004C753C">
      <w:pPr>
        <w:tabs>
          <w:tab w:val="center" w:pos="7088"/>
        </w:tabs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sectPr w:rsidR="009B738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59E71" w14:textId="77777777" w:rsidR="003C5C22" w:rsidRDefault="003C5C22">
      <w:r>
        <w:separator/>
      </w:r>
    </w:p>
  </w:endnote>
  <w:endnote w:type="continuationSeparator" w:id="0">
    <w:p w14:paraId="6D9E9EC9" w14:textId="77777777" w:rsidR="003C5C22" w:rsidRDefault="003C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pokladnica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F6A3" w14:textId="77777777" w:rsidR="003C5C22" w:rsidRDefault="003C5C22">
      <w:r>
        <w:separator/>
      </w:r>
    </w:p>
  </w:footnote>
  <w:footnote w:type="continuationSeparator" w:id="0">
    <w:p w14:paraId="3362213F" w14:textId="77777777" w:rsidR="003C5C22" w:rsidRDefault="003C5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140493"/>
    <w:rsid w:val="00145CE7"/>
    <w:rsid w:val="0018192F"/>
    <w:rsid w:val="00197AA3"/>
    <w:rsid w:val="001B362F"/>
    <w:rsid w:val="001E2AFF"/>
    <w:rsid w:val="001F4530"/>
    <w:rsid w:val="00233917"/>
    <w:rsid w:val="00235FE4"/>
    <w:rsid w:val="00242431"/>
    <w:rsid w:val="00287608"/>
    <w:rsid w:val="002D2ADC"/>
    <w:rsid w:val="002E0784"/>
    <w:rsid w:val="002F2A0D"/>
    <w:rsid w:val="00316BA5"/>
    <w:rsid w:val="003B111B"/>
    <w:rsid w:val="003B7EC6"/>
    <w:rsid w:val="003C5C22"/>
    <w:rsid w:val="00403973"/>
    <w:rsid w:val="00422724"/>
    <w:rsid w:val="004441B8"/>
    <w:rsid w:val="00455BAB"/>
    <w:rsid w:val="00482A91"/>
    <w:rsid w:val="004C11EE"/>
    <w:rsid w:val="004C753C"/>
    <w:rsid w:val="004E0412"/>
    <w:rsid w:val="00563594"/>
    <w:rsid w:val="00570FCB"/>
    <w:rsid w:val="005C60F9"/>
    <w:rsid w:val="005E1262"/>
    <w:rsid w:val="005E2CB4"/>
    <w:rsid w:val="005E6432"/>
    <w:rsid w:val="00602635"/>
    <w:rsid w:val="00616D36"/>
    <w:rsid w:val="00627D02"/>
    <w:rsid w:val="00641B94"/>
    <w:rsid w:val="00653FB5"/>
    <w:rsid w:val="00654033"/>
    <w:rsid w:val="006600FD"/>
    <w:rsid w:val="00665828"/>
    <w:rsid w:val="0067359E"/>
    <w:rsid w:val="0069696E"/>
    <w:rsid w:val="006D7B44"/>
    <w:rsid w:val="007124B6"/>
    <w:rsid w:val="00736B17"/>
    <w:rsid w:val="007E73BB"/>
    <w:rsid w:val="008165FC"/>
    <w:rsid w:val="00840880"/>
    <w:rsid w:val="0084687D"/>
    <w:rsid w:val="00856688"/>
    <w:rsid w:val="008610BA"/>
    <w:rsid w:val="008C373B"/>
    <w:rsid w:val="00927AF6"/>
    <w:rsid w:val="009331C8"/>
    <w:rsid w:val="009428BF"/>
    <w:rsid w:val="00977E85"/>
    <w:rsid w:val="009843CF"/>
    <w:rsid w:val="009B738C"/>
    <w:rsid w:val="009C63CB"/>
    <w:rsid w:val="009E1166"/>
    <w:rsid w:val="00A455A9"/>
    <w:rsid w:val="00A83A45"/>
    <w:rsid w:val="00AC0928"/>
    <w:rsid w:val="00AE2FA7"/>
    <w:rsid w:val="00BD2959"/>
    <w:rsid w:val="00C05A1C"/>
    <w:rsid w:val="00CE35DE"/>
    <w:rsid w:val="00CF6E36"/>
    <w:rsid w:val="00D7433F"/>
    <w:rsid w:val="00D753BA"/>
    <w:rsid w:val="00D938F7"/>
    <w:rsid w:val="00DA3C2E"/>
    <w:rsid w:val="00DD1207"/>
    <w:rsid w:val="00E23345"/>
    <w:rsid w:val="00E41C25"/>
    <w:rsid w:val="00EA5F51"/>
    <w:rsid w:val="00EE0E4F"/>
    <w:rsid w:val="00F15509"/>
    <w:rsid w:val="00F21B2B"/>
    <w:rsid w:val="00F62F44"/>
    <w:rsid w:val="00FB1815"/>
    <w:rsid w:val="00FC2B11"/>
    <w:rsid w:val="00FD5355"/>
    <w:rsid w:val="00FE30C0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738C"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1653</Words>
  <Characters>9427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7</cp:revision>
  <cp:lastPrinted>2022-11-10T10:27:00Z</cp:lastPrinted>
  <dcterms:created xsi:type="dcterms:W3CDTF">2023-02-21T07:11:00Z</dcterms:created>
  <dcterms:modified xsi:type="dcterms:W3CDTF">2023-02-22T10:46:00Z</dcterms:modified>
</cp:coreProperties>
</file>