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F562E5" w:rsidRDefault="00455D29" w:rsidP="00455D29">
      <w:pPr>
        <w:jc w:val="center"/>
        <w:rPr>
          <w:b/>
          <w:sz w:val="28"/>
          <w:szCs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C42429">
        <w:rPr>
          <w:rStyle w:val="Vrazn"/>
          <w:smallCaps/>
          <w:color w:val="000000"/>
          <w:sz w:val="28"/>
          <w:szCs w:val="28"/>
          <w:shd w:val="clear" w:color="auto" w:fill="FFFFFF"/>
        </w:rPr>
        <w:t>ZARIADENIE KUCHYNE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C42429">
              <w:trPr>
                <w:trHeight w:val="1323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Varný kotol s nepriamym ohrevom plynový - 150 l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10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Varný kotol s nepriamym ohrevom plynový - 300 l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9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Smažiaca panvica elektrická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854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Umývačka riadu dezinfekčná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103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lastRenderedPageBreak/>
                    <w:t xml:space="preserve">Elektrické </w:t>
                  </w:r>
                  <w:proofErr w:type="spellStart"/>
                  <w:r w:rsidRPr="00C42429">
                    <w:rPr>
                      <w:b/>
                    </w:rPr>
                    <w:t>konvektomaty</w:t>
                  </w:r>
                  <w:proofErr w:type="spellEnd"/>
                  <w:r w:rsidRPr="00C42429">
                    <w:rPr>
                      <w:b/>
                    </w:rPr>
                    <w:t xml:space="preserve"> 1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904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 xml:space="preserve">Elektrické </w:t>
                  </w:r>
                  <w:proofErr w:type="spellStart"/>
                  <w:r w:rsidRPr="00C42429">
                    <w:rPr>
                      <w:b/>
                    </w:rPr>
                    <w:t>konvektomaty</w:t>
                  </w:r>
                  <w:proofErr w:type="spellEnd"/>
                  <w:r w:rsidRPr="00C42429">
                    <w:rPr>
                      <w:b/>
                    </w:rPr>
                    <w:t xml:space="preserve"> 2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  <w:bookmarkStart w:id="4" w:name="_GoBack"/>
                  <w:bookmarkEnd w:id="4"/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703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Varný kotol elektrický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703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Varný kotol parný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  <w:tr w:rsidR="00C42429" w:rsidRPr="005E5D99" w:rsidTr="00C42429">
              <w:trPr>
                <w:trHeight w:val="21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C42429">
                    <w:rPr>
                      <w:b/>
                    </w:rPr>
                    <w:t>Smažiaca panvica plynová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Default="00C424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2429" w:rsidRPr="005E5D99" w:rsidRDefault="00C424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CA6092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92" w:rsidRDefault="00CA6092" w:rsidP="00455D29">
      <w:r>
        <w:separator/>
      </w:r>
    </w:p>
  </w:endnote>
  <w:endnote w:type="continuationSeparator" w:id="0">
    <w:p w:rsidR="00CA6092" w:rsidRDefault="00CA6092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92" w:rsidRDefault="00CA6092" w:rsidP="00455D29">
      <w:r>
        <w:separator/>
      </w:r>
    </w:p>
  </w:footnote>
  <w:footnote w:type="continuationSeparator" w:id="0">
    <w:p w:rsidR="00CA6092" w:rsidRDefault="00CA6092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C42429"/>
    <w:rsid w:val="00CA6092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28AA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429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429"/>
    <w:rPr>
      <w:rFonts w:ascii="Times New Roman" w:eastAsia="Times New Roman" w:hAnsi="Times New Roman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2023-01-20T23:34:00Z</dcterms:created>
  <dcterms:modified xsi:type="dcterms:W3CDTF">2023-01-20T23:34:00Z</dcterms:modified>
</cp:coreProperties>
</file>