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64" w:rsidRPr="00B30A9E" w:rsidRDefault="00B30A9E">
      <w:pPr>
        <w:rPr>
          <w:rFonts w:ascii="Arial" w:hAnsi="Arial" w:cs="Arial"/>
          <w:b/>
          <w:sz w:val="22"/>
          <w:szCs w:val="22"/>
        </w:rPr>
      </w:pPr>
      <w:r w:rsidRPr="00B30A9E">
        <w:rPr>
          <w:rFonts w:ascii="Arial" w:eastAsia="Arial" w:hAnsi="Arial" w:cs="Arial"/>
          <w:b/>
          <w:sz w:val="22"/>
          <w:szCs w:val="22"/>
          <w:lang w:bidi="en-US"/>
        </w:rPr>
        <w:t>Annex No. 5</w:t>
      </w:r>
    </w:p>
    <w:tbl>
      <w:tblPr>
        <w:tblStyle w:val="Mkatabulky"/>
        <w:tblpPr w:leftFromText="141" w:rightFromText="141" w:vertAnchor="page" w:horzAnchor="margin" w:tblpXSpec="center" w:tblpY="3106"/>
        <w:tblW w:w="14567" w:type="dxa"/>
        <w:tblLook w:val="04A0"/>
      </w:tblPr>
      <w:tblGrid>
        <w:gridCol w:w="959"/>
        <w:gridCol w:w="3127"/>
        <w:gridCol w:w="4349"/>
        <w:gridCol w:w="3408"/>
        <w:gridCol w:w="2724"/>
      </w:tblGrid>
      <w:tr w:rsidR="00F96EE9" w:rsidRPr="00683D69" w:rsidTr="00F96EE9">
        <w:trPr>
          <w:trHeight w:val="320"/>
        </w:trPr>
        <w:tc>
          <w:tcPr>
            <w:tcW w:w="959" w:type="dxa"/>
            <w:shd w:val="clear" w:color="auto" w:fill="BFBFBF" w:themeFill="background1" w:themeFillShade="BF"/>
          </w:tcPr>
          <w:p w:rsidR="00F96EE9" w:rsidRPr="00E36FCB" w:rsidRDefault="00F96EE9" w:rsidP="00F96EE9">
            <w:pPr>
              <w:spacing w:before="120"/>
              <w:ind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Milestone</w:t>
            </w:r>
          </w:p>
        </w:tc>
        <w:tc>
          <w:tcPr>
            <w:tcW w:w="3127" w:type="dxa"/>
            <w:shd w:val="clear" w:color="auto" w:fill="BFBFBF" w:themeFill="background1" w:themeFillShade="BF"/>
          </w:tcPr>
          <w:p w:rsidR="00F96EE9" w:rsidRPr="00E36FCB" w:rsidRDefault="00F96EE9" w:rsidP="00F96EE9">
            <w:pPr>
              <w:spacing w:before="120"/>
              <w:ind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Action</w:t>
            </w:r>
          </w:p>
        </w:tc>
        <w:tc>
          <w:tcPr>
            <w:tcW w:w="4349" w:type="dxa"/>
            <w:shd w:val="clear" w:color="auto" w:fill="BFBFBF" w:themeFill="background1" w:themeFillShade="BF"/>
          </w:tcPr>
          <w:p w:rsidR="00F96EE9" w:rsidRPr="00E36FCB" w:rsidRDefault="00F96EE9" w:rsidP="00F96EE9">
            <w:pPr>
              <w:spacing w:before="120"/>
              <w:ind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Action description</w:t>
            </w:r>
          </w:p>
        </w:tc>
        <w:tc>
          <w:tcPr>
            <w:tcW w:w="3408" w:type="dxa"/>
            <w:shd w:val="clear" w:color="auto" w:fill="BFBFBF" w:themeFill="background1" w:themeFillShade="BF"/>
          </w:tcPr>
          <w:p w:rsidR="00F96EE9" w:rsidRPr="00E36FCB" w:rsidRDefault="00F96EE9" w:rsidP="00F96E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Completion deadline</w:t>
            </w:r>
          </w:p>
        </w:tc>
        <w:tc>
          <w:tcPr>
            <w:tcW w:w="2724" w:type="dxa"/>
            <w:shd w:val="clear" w:color="auto" w:fill="BFBFBF" w:themeFill="background1" w:themeFillShade="BF"/>
          </w:tcPr>
          <w:p w:rsidR="00F96EE9" w:rsidRPr="00E36FCB" w:rsidRDefault="00F96EE9" w:rsidP="00F96E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Payment schedule</w:t>
            </w:r>
          </w:p>
        </w:tc>
      </w:tr>
      <w:tr w:rsidR="00F96EE9" w:rsidRPr="00683D69" w:rsidTr="00F96EE9">
        <w:trPr>
          <w:trHeight w:val="320"/>
        </w:trPr>
        <w:tc>
          <w:tcPr>
            <w:tcW w:w="959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24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96EE9" w:rsidRPr="00683D69" w:rsidTr="00F96EE9">
        <w:trPr>
          <w:trHeight w:val="755"/>
        </w:trPr>
        <w:tc>
          <w:tcPr>
            <w:tcW w:w="959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1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Acceptance of the Site: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means the moment when the Client hands over the Site to the Contractor and the Contractor takes over the Site from the Client;</w:t>
            </w:r>
          </w:p>
        </w:tc>
        <w:tc>
          <w:tcPr>
            <w:tcW w:w="3408" w:type="dxa"/>
            <w:vAlign w:val="center"/>
          </w:tcPr>
          <w:p w:rsidR="00F96EE9" w:rsidRPr="00EA462B" w:rsidRDefault="00660FA8" w:rsidP="00FB52D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at latest within 7 calendar days from delivery of the Client’s written request to commence performance under Art. 3.1.1 of the Agreement</w:t>
            </w:r>
          </w:p>
        </w:tc>
        <w:tc>
          <w:tcPr>
            <w:tcW w:w="2724" w:type="dxa"/>
          </w:tcPr>
          <w:p w:rsidR="00F96EE9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246BDA" w:rsidRPr="0033631E" w:rsidRDefault="00246BDA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-----------------</w:t>
            </w:r>
          </w:p>
        </w:tc>
      </w:tr>
      <w:tr w:rsidR="00F96EE9" w:rsidRPr="00683D69" w:rsidTr="00F96EE9">
        <w:trPr>
          <w:trHeight w:val="742"/>
        </w:trPr>
        <w:tc>
          <w:tcPr>
            <w:tcW w:w="959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2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Commencement of Work: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means the moment when the Contractors commences performance of the Work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at latest within 14 calendar days from takeover of the Site, unless agreed otherwise in writing</w:t>
            </w:r>
          </w:p>
        </w:tc>
        <w:tc>
          <w:tcPr>
            <w:tcW w:w="2724" w:type="dxa"/>
          </w:tcPr>
          <w:p w:rsidR="00246BDA" w:rsidRDefault="00981E2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Payment of 40% of the Price for the given work item (given store) after delivery of the panels/inverters, DC distributors / supporting structure and commencement of installation (at the given store) under Annex No. 12 to the Agreement</w:t>
            </w:r>
          </w:p>
        </w:tc>
      </w:tr>
      <w:tr w:rsidR="00F96EE9" w:rsidRPr="00683D69" w:rsidTr="00F96EE9">
        <w:trPr>
          <w:trHeight w:val="755"/>
        </w:trPr>
        <w:tc>
          <w:tcPr>
            <w:tcW w:w="959" w:type="dxa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3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Performance of Work: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rPr>
                <w:rFonts w:ascii="Arial" w:hAnsi="Arial" w:cs="Arial"/>
                <w:sz w:val="20"/>
                <w:szCs w:val="20"/>
              </w:rPr>
            </w:pPr>
            <w:r w:rsidRPr="0008498A">
              <w:rPr>
                <w:rFonts w:ascii="Arial" w:eastAsia="Arial" w:hAnsi="Arial" w:cs="Arial"/>
                <w:sz w:val="20"/>
                <w:szCs w:val="20"/>
                <w:lang w:bidi="en-US"/>
              </w:rPr>
              <w:t>means the moment when the Contractor completes all construction works on the Work and duly demonstrates that the Work is fully functional as a whole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903470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at latest within 4 weeks from the date of takeover of the Site, unless agreed otherwise in writing (</w:t>
            </w:r>
            <w:r>
              <w:rPr>
                <w:rFonts w:ascii="Arial" w:eastAsia="Arial" w:hAnsi="Arial" w:cs="Arial"/>
                <w:i/>
                <w:sz w:val="20"/>
                <w:szCs w:val="20"/>
                <w:lang w:bidi="en-US"/>
              </w:rPr>
              <w:t>to be completed by the participant based on their bid. The Contracting Authority requires the period of work implementation to be maximally 8 weeks from the date of takeover of the Site.)</w:t>
            </w:r>
          </w:p>
        </w:tc>
        <w:tc>
          <w:tcPr>
            <w:tcW w:w="2724" w:type="dxa"/>
          </w:tcPr>
          <w:p w:rsidR="006D55A1" w:rsidRDefault="006D55A1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6D55A1" w:rsidRDefault="006D55A1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6EE9" w:rsidRDefault="006D55A1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-----------------</w:t>
            </w:r>
          </w:p>
        </w:tc>
      </w:tr>
      <w:tr w:rsidR="00F96EE9" w:rsidRPr="00683D69" w:rsidTr="00F96EE9">
        <w:trPr>
          <w:trHeight w:val="643"/>
        </w:trPr>
        <w:tc>
          <w:tcPr>
            <w:tcW w:w="959" w:type="dxa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4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Procurement of official approval: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rPr>
                <w:rFonts w:ascii="Arial" w:hAnsi="Arial" w:cs="Arial"/>
                <w:sz w:val="20"/>
                <w:szCs w:val="20"/>
              </w:rPr>
            </w:pPr>
            <w:r w:rsidRPr="0008498A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means the moment when the approval and/or other consent required for the use of the Work comes into legal force, and if does not come into legal force, then when it becomes effective 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no later than 21 days after the date after the performance of the Work pursuant to Milestone 3</w:t>
            </w:r>
          </w:p>
        </w:tc>
        <w:tc>
          <w:tcPr>
            <w:tcW w:w="2724" w:type="dxa"/>
          </w:tcPr>
          <w:p w:rsidR="00F96EE9" w:rsidRDefault="00F96EE9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Payment of 25% of the price of the relevant item of Work (relevant store) as per Annex No. 12 to the Contract.</w:t>
            </w:r>
          </w:p>
        </w:tc>
      </w:tr>
      <w:tr w:rsidR="00F96EE9" w:rsidRPr="00683D69" w:rsidTr="00F96EE9">
        <w:trPr>
          <w:trHeight w:val="531"/>
        </w:trPr>
        <w:tc>
          <w:tcPr>
            <w:tcW w:w="959" w:type="dxa"/>
          </w:tcPr>
          <w:p w:rsidR="00F96EE9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5</w:t>
            </w:r>
          </w:p>
        </w:tc>
        <w:tc>
          <w:tcPr>
            <w:tcW w:w="3127" w:type="dxa"/>
            <w:vAlign w:val="center"/>
          </w:tcPr>
          <w:p w:rsidR="00F96EE9" w:rsidRPr="00EA462B" w:rsidRDefault="00E36E3D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Procurement of the approval of the distributor and first parallel connection:</w:t>
            </w:r>
          </w:p>
        </w:tc>
        <w:tc>
          <w:tcPr>
            <w:tcW w:w="4349" w:type="dxa"/>
            <w:vAlign w:val="center"/>
          </w:tcPr>
          <w:p w:rsidR="00F96EE9" w:rsidRPr="0033631E" w:rsidRDefault="00F96EE9" w:rsidP="00660FA8">
            <w:pPr>
              <w:rPr>
                <w:rFonts w:ascii="Arial" w:hAnsi="Arial" w:cs="Arial"/>
                <w:sz w:val="20"/>
                <w:szCs w:val="20"/>
              </w:rPr>
            </w:pPr>
            <w:r w:rsidRPr="00660FA8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means procuring a consenting opinion for the connection of the PV plant by the entity authorised to issue such consent and after the </w:t>
            </w:r>
            <w:r w:rsidRPr="00660FA8">
              <w:rPr>
                <w:rFonts w:ascii="Arial" w:eastAsia="Arial" w:hAnsi="Arial" w:cs="Arial"/>
                <w:sz w:val="20"/>
                <w:szCs w:val="20"/>
                <w:lang w:bidi="en-US"/>
              </w:rPr>
              <w:lastRenderedPageBreak/>
              <w:t>first parallel connection to the distribution grid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lastRenderedPageBreak/>
              <w:t>no later than 30 days after the date after the performance of the Work pursuant to Milestone 3</w:t>
            </w:r>
          </w:p>
        </w:tc>
        <w:tc>
          <w:tcPr>
            <w:tcW w:w="2724" w:type="dxa"/>
          </w:tcPr>
          <w:p w:rsidR="006D55A1" w:rsidRDefault="006D55A1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6EE9" w:rsidRDefault="006D55A1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-----------------</w:t>
            </w:r>
          </w:p>
        </w:tc>
      </w:tr>
      <w:tr w:rsidR="00F96EE9" w:rsidRPr="00683D69" w:rsidTr="00F96EE9">
        <w:trPr>
          <w:trHeight w:val="755"/>
        </w:trPr>
        <w:tc>
          <w:tcPr>
            <w:tcW w:w="959" w:type="dxa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lastRenderedPageBreak/>
              <w:t>6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Handover of the Work to the Client:</w:t>
            </w:r>
          </w:p>
        </w:tc>
        <w:tc>
          <w:tcPr>
            <w:tcW w:w="4349" w:type="dxa"/>
            <w:vAlign w:val="center"/>
          </w:tcPr>
          <w:p w:rsidR="00F96EE9" w:rsidRPr="00EA462B" w:rsidRDefault="00F96EE9" w:rsidP="00F96EE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462B">
              <w:rPr>
                <w:rFonts w:ascii="Arial" w:eastAsia="Arial" w:hAnsi="Arial" w:cs="Arial"/>
                <w:sz w:val="20"/>
                <w:szCs w:val="20"/>
                <w:lang w:bidi="en-US"/>
              </w:rPr>
              <w:t>has the meaning set forth in Art. 5.1.1 of this Contract.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no later than the 3rd day after obtaining the distributor’s consent and the first parallel connection to the distribution grid according to Milestone No. 5 </w:t>
            </w:r>
          </w:p>
        </w:tc>
        <w:tc>
          <w:tcPr>
            <w:tcW w:w="2724" w:type="dxa"/>
          </w:tcPr>
          <w:p w:rsidR="00F96EE9" w:rsidRDefault="00F96EE9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Payment of 35% of the price of the relevant item of Work (relevant store) as per Annex No. 12 to the Contract.</w:t>
            </w:r>
          </w:p>
        </w:tc>
      </w:tr>
    </w:tbl>
    <w:p w:rsidR="00B30A9E" w:rsidRDefault="00B30A9E">
      <w:pPr>
        <w:rPr>
          <w:rFonts w:ascii="Arial" w:hAnsi="Arial" w:cs="Arial"/>
          <w:sz w:val="22"/>
          <w:szCs w:val="22"/>
        </w:rPr>
      </w:pPr>
      <w:r w:rsidRPr="00B30A9E">
        <w:rPr>
          <w:rFonts w:ascii="Arial" w:eastAsia="Arial" w:hAnsi="Arial" w:cs="Arial"/>
          <w:sz w:val="22"/>
          <w:szCs w:val="22"/>
          <w:lang w:bidi="en-US"/>
        </w:rPr>
        <w:t xml:space="preserve"> Schedule for Work performance - applicable to each individual item of Work (individual store)</w:t>
      </w:r>
    </w:p>
    <w:p w:rsidR="00FB52D8" w:rsidRDefault="00FB52D8">
      <w:pPr>
        <w:rPr>
          <w:rFonts w:ascii="Arial" w:hAnsi="Arial" w:cs="Arial"/>
          <w:sz w:val="22"/>
          <w:szCs w:val="22"/>
        </w:rPr>
      </w:pPr>
    </w:p>
    <w:p w:rsidR="00FB52D8" w:rsidRPr="00035208" w:rsidRDefault="00FB52D8">
      <w:pPr>
        <w:rPr>
          <w:rFonts w:ascii="Arial" w:hAnsi="Arial" w:cs="Arial"/>
          <w:sz w:val="22"/>
          <w:szCs w:val="22"/>
        </w:rPr>
      </w:pPr>
      <w:r w:rsidRPr="00035208">
        <w:rPr>
          <w:rFonts w:ascii="Arial" w:eastAsia="Arial" w:hAnsi="Arial" w:cs="Arial"/>
          <w:sz w:val="22"/>
          <w:szCs w:val="22"/>
          <w:lang w:bidi="en-US"/>
        </w:rPr>
        <w:t>The Client shall send a written invitation to the Contractor to commence performance of the relevant item of Work (relevant store)</w:t>
      </w:r>
    </w:p>
    <w:sectPr w:rsidR="00FB52D8" w:rsidRPr="00035208" w:rsidSect="00B30A9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PROJECT.ZY_20_MAIN.ZYINSERTCROSSREF"/>
    </wne:keymap>
    <wne:keymap wne:kcmPrimary="0441">
      <wne:acd wne:acdName="acd1"/>
    </wne:keymap>
    <wne:keymap wne:kcmPrimary="0444">
      <wne:acd wne:acdName="acd3"/>
    </wne:keymap>
    <wne:keymap wne:kcmPrimary="0445">
      <wne:acd wne:acdName="acd8"/>
    </wne:keymap>
    <wne:keymap wne:kcmPrimary="0446">
      <wne:acd wne:acdName="acd4"/>
    </wne:keymap>
    <wne:keymap wne:kcmPrimary="0447">
      <wne:acd wne:acdName="acd5"/>
    </wne:keymap>
    <wne:keymap wne:kcmPrimary="0448">
      <wne:macro wne:macroName="PROJECT.ZY_90_RIBBON.SETLISTINGB"/>
    </wne:keymap>
    <wne:keymap wne:kcmPrimary="0449">
      <wne:acd wne:acdName="acd13"/>
    </wne:keymap>
    <wne:keymap wne:kcmPrimary="044A">
      <wne:macro wne:macroName="PROJECT.ZY_90_RIBBON.SETLISTINGD"/>
    </wne:keymap>
    <wne:keymap wne:kcmPrimary="044B">
      <wne:macro wne:macroName="PROJECT.ZY_90_RIBBON.SETLISTINGA"/>
    </wne:keymap>
    <wne:keymap wne:kcmPrimary="044C">
      <wne:macro wne:macroName="PROJECT.ZY_90_RIBBON.SETLISTINGI"/>
    </wne:keymap>
    <wne:keymap wne:kcmPrimary="044E">
      <wne:macro wne:macroName="PROJECT.ZY_20_MAIN.ZYNUMBERINWORDS"/>
    </wne:keymap>
    <wne:keymap wne:kcmPrimary="044F">
      <wne:acd wne:acdName="acd14"/>
    </wne:keymap>
    <wne:keymap wne:kcmPrimary="0450">
      <wne:acd wne:acdName="acd15"/>
    </wne:keymap>
    <wne:keymap wne:kcmPrimary="0451">
      <wne:acd wne:acdName="acd6"/>
    </wne:keymap>
    <wne:keymap wne:kcmPrimary="0452">
      <wne:acd wne:acdName="acd9"/>
    </wne:keymap>
    <wne:keymap wne:kcmPrimary="0453">
      <wne:acd wne:acdName="acd2"/>
    </wne:keymap>
    <wne:keymap wne:kcmPrimary="0454">
      <wne:acd wne:acdName="acd10"/>
    </wne:keymap>
    <wne:keymap wne:kcmPrimary="0455">
      <wne:acd wne:acdName="acd12"/>
    </wne:keymap>
    <wne:keymap wne:kcmPrimary="0457">
      <wne:acd wne:acdName="acd7"/>
    </wne:keymap>
    <wne:keymap wne:kcmPrimary="0458">
      <wne:acd wne:acdName="acd16"/>
    </wne:keymap>
    <wne:keymap wne:kcmPrimary="0459">
      <wne:acd wne:acdName="acd0"/>
    </wne:keymap>
    <wne:keymap wne:kcmPrimary="045A">
      <wne:acd wne:acdName="acd1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</wne:acdManifest>
  </wne:toolbars>
  <wne:acds>
    <wne:acd wne:argValue="AgBTAF8AdABlAHgAdAA=" wne:acdName="acd0" wne:fciIndexBasedOn="0065"/>
    <wne:acd wne:argValue="AgBTAF8AdABlAHgAdAAgADEA" wne:acdName="acd1" wne:fciIndexBasedOn="0065"/>
    <wne:acd wne:argValue="AgBTAF8AdABlAHgAdAAgADIA" wne:acdName="acd2" wne:fciIndexBasedOn="0065"/>
    <wne:acd wne:argValue="AgBTAF8AdABlAHgAdAAgADMA" wne:acdName="acd3" wne:fciIndexBasedOn="0065"/>
    <wne:acd wne:argValue="AgBTAF8AdABlAHgAdAAgADQA" wne:acdName="acd4" wne:fciIndexBasedOn="0065"/>
    <wne:acd wne:argValue="AgBTAF8AdABlAHgAdAAgADUA" wne:acdName="acd5" wne:fciIndexBasedOn="0065"/>
    <wne:acd wne:argValue="AgBTAF8AaABlAGEAZABpAG4AZwAgADEA" wne:acdName="acd6" wne:fciIndexBasedOn="0065"/>
    <wne:acd wne:argValue="AgBTAF8AaABlAGEAZABpAG4AZwAgADIA" wne:acdName="acd7" wne:fciIndexBasedOn="0065"/>
    <wne:acd wne:argValue="AgBTAF8AaABlAGEAZABpAG4AZwAgADMA" wne:acdName="acd8" wne:fciIndexBasedOn="0065"/>
    <wne:acd wne:argValue="AgBTAF8AaABlAGEAZABpAG4AZwAgADQA" wne:acdName="acd9" wne:fciIndexBasedOn="0065"/>
    <wne:acd wne:argValue="AgBTAF8AaABlAGEAZABpAG4AZwAgADUA" wne:acdName="acd10" wne:fciIndexBasedOn="0065"/>
    <wne:acd wne:argValue="AgBTAF8ATgB1AG0AYgBlAHIAZQBkACAAUABhAHIAYQBnAHIAYQBwAGgAIAAxAA==" wne:acdName="acd11" wne:fciIndexBasedOn="0065"/>
    <wne:acd wne:argValue="AgBTAF8ATgB1AG0AYgBlAHIAZQBkACAAUABhAHIAYQBnAHIAYQBwAGgAIAAyAA==" wne:acdName="acd12" wne:fciIndexBasedOn="0065"/>
    <wne:acd wne:argValue="AgBTAF8ATgB1AG0AYgBlAHIAZQBkACAAUABhAHIAYQBnAHIAYQBwAGgAIAAzAA==" wne:acdName="acd13" wne:fciIndexBasedOn="0065"/>
    <wne:acd wne:argValue="AgBTAF8ATgB1AG0AYgBlAHIAZQBkACAAUABhAHIAYQBnAHIAYQBwAGgAIAA0AA==" wne:acdName="acd14" wne:fciIndexBasedOn="0065"/>
    <wne:acd wne:argValue="AgBTAF8ATgB1AG0AYgBlAHIAZQBkACAAUABhAHIAYQBnAHIAYQBwAGgAIAA1AA==" wne:acdName="acd15" wne:fciIndexBasedOn="0065"/>
    <wne:acd wne:argValue="AgBTAF8AbQBhAHIAZwBpAG4AYQBsACAAbgB1AG0AYgBlAHIA" wne:acdName="acd16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000" w:rsidRDefault="00AF1000" w:rsidP="005B29F5">
      <w:r>
        <w:separator/>
      </w:r>
    </w:p>
  </w:endnote>
  <w:endnote w:type="continuationSeparator" w:id="0">
    <w:p w:rsidR="00AF1000" w:rsidRDefault="00AF1000" w:rsidP="005B2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936" w:rsidRPr="00721936" w:rsidRDefault="00721936" w:rsidP="00721936">
    <w:pPr>
      <w:pStyle w:val="Zpat"/>
      <w:spacing w:before="120"/>
      <w:jc w:val="center"/>
      <w:rPr>
        <w:b/>
        <w:bCs/>
        <w:color w:val="000099"/>
        <w:spacing w:val="7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000" w:rsidRDefault="00AF1000" w:rsidP="005B29F5">
      <w:r>
        <w:separator/>
      </w:r>
    </w:p>
  </w:footnote>
  <w:footnote w:type="continuationSeparator" w:id="0">
    <w:p w:rsidR="00AF1000" w:rsidRDefault="00AF1000" w:rsidP="005B2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674"/>
    <w:multiLevelType w:val="hybridMultilevel"/>
    <w:tmpl w:val="CE10F9B0"/>
    <w:lvl w:ilvl="0" w:tplc="FAECB386">
      <w:start w:val="1"/>
      <w:numFmt w:val="bullet"/>
      <w:pStyle w:val="BBSnadpi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02D9C"/>
    <w:multiLevelType w:val="hybridMultilevel"/>
    <w:tmpl w:val="D34A3A86"/>
    <w:lvl w:ilvl="0" w:tplc="7F9C0E4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D4ADB"/>
    <w:multiLevelType w:val="multilevel"/>
    <w:tmpl w:val="CB7C08F0"/>
    <w:lvl w:ilvl="0">
      <w:start w:val="1"/>
      <w:numFmt w:val="decimal"/>
      <w:pStyle w:val="BBSnadpis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ascii="Arial" w:hAnsi="Arial" w:hint="default"/>
        <w:b/>
        <w:i w:val="0"/>
      </w:rPr>
    </w:lvl>
    <w:lvl w:ilvl="2">
      <w:start w:val="1"/>
      <w:numFmt w:val="decimal"/>
      <w:pStyle w:val="BBS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30A9E"/>
    <w:rsid w:val="00035208"/>
    <w:rsid w:val="000721DC"/>
    <w:rsid w:val="00072B3B"/>
    <w:rsid w:val="0008498A"/>
    <w:rsid w:val="000A659F"/>
    <w:rsid w:val="00116D50"/>
    <w:rsid w:val="001A6961"/>
    <w:rsid w:val="002239D5"/>
    <w:rsid w:val="002275D4"/>
    <w:rsid w:val="002379CA"/>
    <w:rsid w:val="00246BDA"/>
    <w:rsid w:val="002A76FE"/>
    <w:rsid w:val="002B4BE1"/>
    <w:rsid w:val="002C0666"/>
    <w:rsid w:val="002D108E"/>
    <w:rsid w:val="0031657C"/>
    <w:rsid w:val="0033631E"/>
    <w:rsid w:val="00394201"/>
    <w:rsid w:val="003B7727"/>
    <w:rsid w:val="00437C8E"/>
    <w:rsid w:val="00493840"/>
    <w:rsid w:val="004B0B9B"/>
    <w:rsid w:val="004B342F"/>
    <w:rsid w:val="004C364F"/>
    <w:rsid w:val="004E4DDD"/>
    <w:rsid w:val="00501298"/>
    <w:rsid w:val="00506F21"/>
    <w:rsid w:val="005408AB"/>
    <w:rsid w:val="005677C1"/>
    <w:rsid w:val="00591F89"/>
    <w:rsid w:val="00592D7D"/>
    <w:rsid w:val="005B29F5"/>
    <w:rsid w:val="005D2A65"/>
    <w:rsid w:val="0060003E"/>
    <w:rsid w:val="006255C9"/>
    <w:rsid w:val="00630446"/>
    <w:rsid w:val="00660FA8"/>
    <w:rsid w:val="006A1E44"/>
    <w:rsid w:val="006D55A1"/>
    <w:rsid w:val="006E4465"/>
    <w:rsid w:val="007077A5"/>
    <w:rsid w:val="00721936"/>
    <w:rsid w:val="007B0F79"/>
    <w:rsid w:val="0088083A"/>
    <w:rsid w:val="00880920"/>
    <w:rsid w:val="008A04A5"/>
    <w:rsid w:val="008A2D44"/>
    <w:rsid w:val="008E71C5"/>
    <w:rsid w:val="008E7BE9"/>
    <w:rsid w:val="008F2140"/>
    <w:rsid w:val="008F49FD"/>
    <w:rsid w:val="00903470"/>
    <w:rsid w:val="00911825"/>
    <w:rsid w:val="00913412"/>
    <w:rsid w:val="00981E29"/>
    <w:rsid w:val="00982065"/>
    <w:rsid w:val="009B15D1"/>
    <w:rsid w:val="009B5695"/>
    <w:rsid w:val="009F401C"/>
    <w:rsid w:val="009F60A8"/>
    <w:rsid w:val="00A03922"/>
    <w:rsid w:val="00A77E17"/>
    <w:rsid w:val="00A95E01"/>
    <w:rsid w:val="00A975DA"/>
    <w:rsid w:val="00AD0F6F"/>
    <w:rsid w:val="00AF1000"/>
    <w:rsid w:val="00AF168A"/>
    <w:rsid w:val="00B168F0"/>
    <w:rsid w:val="00B21BBB"/>
    <w:rsid w:val="00B30A9E"/>
    <w:rsid w:val="00B363C8"/>
    <w:rsid w:val="00B60E9A"/>
    <w:rsid w:val="00B90602"/>
    <w:rsid w:val="00BA17AE"/>
    <w:rsid w:val="00C23D84"/>
    <w:rsid w:val="00C712FF"/>
    <w:rsid w:val="00CE06F7"/>
    <w:rsid w:val="00D27C05"/>
    <w:rsid w:val="00D7338F"/>
    <w:rsid w:val="00E2419A"/>
    <w:rsid w:val="00E36E3D"/>
    <w:rsid w:val="00E36FCB"/>
    <w:rsid w:val="00E50EE8"/>
    <w:rsid w:val="00E87FDF"/>
    <w:rsid w:val="00E91E66"/>
    <w:rsid w:val="00EA462B"/>
    <w:rsid w:val="00EE38B7"/>
    <w:rsid w:val="00EF3D12"/>
    <w:rsid w:val="00F6255F"/>
    <w:rsid w:val="00F70CF5"/>
    <w:rsid w:val="00F94EA0"/>
    <w:rsid w:val="00F96EE9"/>
    <w:rsid w:val="00FB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A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rsid w:val="00493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938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4938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BSnadpis1">
    <w:name w:val="_BBS nadpis 1"/>
    <w:basedOn w:val="Nadpis1"/>
    <w:autoRedefine/>
    <w:qFormat/>
    <w:rsid w:val="00493840"/>
    <w:pPr>
      <w:keepLines w:val="0"/>
      <w:numPr>
        <w:numId w:val="12"/>
      </w:numPr>
      <w:spacing w:before="0"/>
      <w:jc w:val="both"/>
    </w:pPr>
    <w:rPr>
      <w:rFonts w:ascii="Arial" w:eastAsia="Times New Roman" w:hAnsi="Arial" w:cs="Arial"/>
      <w:color w:val="auto"/>
      <w:sz w:val="24"/>
      <w:szCs w:val="20"/>
      <w:u w:val="single"/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49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BSnormal">
    <w:name w:val="_BBS normal"/>
    <w:basedOn w:val="Normln"/>
    <w:qFormat/>
    <w:rsid w:val="00493840"/>
    <w:pPr>
      <w:jc w:val="both"/>
    </w:pPr>
    <w:rPr>
      <w:rFonts w:ascii="Arial" w:hAnsi="Arial" w:cs="Arial"/>
      <w:sz w:val="22"/>
      <w:szCs w:val="20"/>
    </w:rPr>
  </w:style>
  <w:style w:type="paragraph" w:customStyle="1" w:styleId="BBSnadpis2">
    <w:name w:val="_BBS nadpis 2"/>
    <w:basedOn w:val="Nadpis2"/>
    <w:next w:val="BBSnormal"/>
    <w:autoRedefine/>
    <w:qFormat/>
    <w:rsid w:val="00A03922"/>
    <w:pPr>
      <w:keepNext w:val="0"/>
      <w:keepLines w:val="0"/>
      <w:numPr>
        <w:numId w:val="14"/>
      </w:numPr>
      <w:spacing w:before="0"/>
      <w:outlineLvl w:val="9"/>
    </w:pPr>
    <w:rPr>
      <w:rFonts w:ascii="Arial" w:eastAsia="Times New Roman" w:hAnsi="Arial" w:cs="Times New Roman"/>
      <w:bCs w:val="0"/>
      <w:color w:val="auto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3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BSnadpis3">
    <w:name w:val="_BBS nadpis 3"/>
    <w:basedOn w:val="Nadpis3"/>
    <w:next w:val="BBSnormal"/>
    <w:autoRedefine/>
    <w:qFormat/>
    <w:rsid w:val="00493840"/>
    <w:pPr>
      <w:keepLines w:val="0"/>
      <w:numPr>
        <w:ilvl w:val="2"/>
        <w:numId w:val="12"/>
      </w:numPr>
      <w:spacing w:before="0"/>
    </w:pPr>
    <w:rPr>
      <w:rFonts w:ascii="Arial" w:eastAsia="Times New Roman" w:hAnsi="Arial" w:cs="Arial"/>
      <w:color w:val="auto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38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BSodkaznadetail">
    <w:name w:val="_BBS odkaz na detail"/>
    <w:basedOn w:val="Normln"/>
    <w:qFormat/>
    <w:rsid w:val="00493840"/>
    <w:pPr>
      <w:tabs>
        <w:tab w:val="num" w:pos="540"/>
        <w:tab w:val="num" w:pos="720"/>
      </w:tabs>
      <w:ind w:left="539" w:right="-868"/>
      <w:jc w:val="right"/>
    </w:pPr>
    <w:rPr>
      <w:rFonts w:ascii="Arial" w:hAnsi="Arial" w:cs="Arial"/>
      <w:sz w:val="16"/>
      <w:szCs w:val="20"/>
    </w:rPr>
  </w:style>
  <w:style w:type="table" w:styleId="Mkatabulky">
    <w:name w:val="Table Grid"/>
    <w:basedOn w:val="Normlntabulka"/>
    <w:uiPriority w:val="59"/>
    <w:rsid w:val="00B30A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A17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1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17A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7A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7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7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29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29F5"/>
    <w:rPr>
      <w:sz w:val="24"/>
      <w:szCs w:val="24"/>
    </w:rPr>
  </w:style>
  <w:style w:type="paragraph" w:styleId="Zpat">
    <w:name w:val="footer"/>
    <w:basedOn w:val="Normln"/>
    <w:link w:val="ZpatChar"/>
    <w:unhideWhenUsed/>
    <w:rsid w:val="005B29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9F5"/>
    <w:rPr>
      <w:sz w:val="24"/>
      <w:szCs w:val="24"/>
    </w:rPr>
  </w:style>
  <w:style w:type="character" w:styleId="slostrnky">
    <w:name w:val="page number"/>
    <w:basedOn w:val="Standardnpsmoodstavce"/>
    <w:rsid w:val="00721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2317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Lidl Stiftung &amp; Co. KG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oplt</dc:creator>
  <cp:lastModifiedBy>Josef Kudrna</cp:lastModifiedBy>
  <cp:revision>2</cp:revision>
  <cp:lastPrinted>2018-04-06T14:22:00Z</cp:lastPrinted>
  <dcterms:created xsi:type="dcterms:W3CDTF">2023-01-31T07:51:00Z</dcterms:created>
  <dcterms:modified xsi:type="dcterms:W3CDTF">2023-01-31T07:51:00Z</dcterms:modified>
</cp:coreProperties>
</file>