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771973F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BE0EA3" w:rsidRPr="00BE0EA3">
        <w:rPr>
          <w:rFonts w:ascii="Times New Roman" w:eastAsia="Calibri" w:hAnsi="Times New Roman"/>
          <w:b/>
          <w:noProof w:val="0"/>
          <w:szCs w:val="22"/>
          <w:lang w:eastAsia="en-US"/>
        </w:rPr>
        <w:t>Anestéziologický prístroj s monitorom vitálnych funkcií pre prostredie magnetickej rezonancie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E78B0D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DC6AAA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BE0EA3" w:rsidRPr="0063549E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Anestéziologický prístroj s monitorom vitálnych funkcií pre prostredie magnetickej rezonancie</w:t>
      </w:r>
      <w:r w:rsidR="00DC6AAA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63549E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– 1 ks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65D89042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0431C9" w:rsidRPr="00BA1594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mesiacov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C7921"/>
    <w:rsid w:val="00107F5C"/>
    <w:rsid w:val="0011650A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C779A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27007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74FB"/>
    <w:rsid w:val="00BE0EA3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4272</Words>
  <Characters>24356</Characters>
  <Application>Microsoft Office Word</Application>
  <DocSecurity>0</DocSecurity>
  <Lines>202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23</cp:revision>
  <cp:lastPrinted>2021-01-12T09:53:00Z</cp:lastPrinted>
  <dcterms:created xsi:type="dcterms:W3CDTF">2022-03-18T08:51:00Z</dcterms:created>
  <dcterms:modified xsi:type="dcterms:W3CDTF">2023-02-09T08:45:00Z</dcterms:modified>
</cp:coreProperties>
</file>