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52B935AF" w14:textId="119BCE2D" w:rsidR="0082305D" w:rsidRPr="00D15A06" w:rsidRDefault="00F8551A" w:rsidP="00F8551A">
      <w:pPr>
        <w:pStyle w:val="Zkladntext3"/>
        <w:spacing w:before="20"/>
        <w:ind w:right="-45"/>
        <w:rPr>
          <w:rFonts w:asciiTheme="majorHAnsi" w:hAnsiTheme="majorHAnsi" w:cstheme="majorHAnsi"/>
          <w:noProof w:val="0"/>
          <w:color w:val="auto"/>
          <w:sz w:val="22"/>
          <w:szCs w:val="22"/>
        </w:rPr>
      </w:pPr>
      <w:r w:rsidRPr="00F8551A">
        <w:rPr>
          <w:rFonts w:asciiTheme="majorHAnsi" w:hAnsiTheme="majorHAnsi" w:cstheme="majorHAnsi"/>
          <w:b/>
          <w:bCs/>
          <w:noProof w:val="0"/>
          <w:color w:val="auto"/>
          <w:sz w:val="24"/>
          <w:szCs w:val="24"/>
          <w:lang w:eastAsia="cs-CZ"/>
        </w:rPr>
        <w:t>Chladiarenské vozidlo – 1</w:t>
      </w:r>
      <w:r w:rsidR="00056644">
        <w:rPr>
          <w:rFonts w:asciiTheme="majorHAnsi" w:hAnsiTheme="majorHAnsi" w:cstheme="majorHAnsi"/>
          <w:b/>
          <w:bCs/>
          <w:noProof w:val="0"/>
          <w:color w:val="auto"/>
          <w:sz w:val="24"/>
          <w:szCs w:val="24"/>
          <w:lang w:eastAsia="cs-CZ"/>
        </w:rPr>
        <w:t>8</w:t>
      </w:r>
      <w:r w:rsidRPr="00F8551A">
        <w:rPr>
          <w:rFonts w:asciiTheme="majorHAnsi" w:hAnsiTheme="majorHAnsi" w:cstheme="majorHAnsi"/>
          <w:b/>
          <w:bCs/>
          <w:noProof w:val="0"/>
          <w:color w:val="auto"/>
          <w:sz w:val="24"/>
          <w:szCs w:val="24"/>
          <w:lang w:eastAsia="cs-CZ"/>
        </w:rPr>
        <w:t xml:space="preserve"> </w:t>
      </w:r>
      <w:proofErr w:type="spellStart"/>
      <w:r w:rsidRPr="00F8551A">
        <w:rPr>
          <w:rFonts w:asciiTheme="majorHAnsi" w:hAnsiTheme="majorHAnsi" w:cstheme="majorHAnsi"/>
          <w:b/>
          <w:bCs/>
          <w:noProof w:val="0"/>
          <w:color w:val="auto"/>
          <w:sz w:val="24"/>
          <w:szCs w:val="24"/>
          <w:lang w:eastAsia="cs-CZ"/>
        </w:rPr>
        <w:t>europaliet</w:t>
      </w:r>
      <w:proofErr w:type="spellEnd"/>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5D39E47A"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5EB4777A"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F8551A" w:rsidRPr="00F8551A">
        <w:rPr>
          <w:rFonts w:asciiTheme="majorHAnsi" w:hAnsiTheme="majorHAnsi" w:cstheme="majorHAnsi"/>
          <w:b/>
          <w:bCs/>
          <w:iCs/>
          <w:sz w:val="22"/>
          <w:szCs w:val="22"/>
        </w:rPr>
        <w:t>Chladiarenské vozidlo – 1</w:t>
      </w:r>
      <w:r w:rsidR="00056644">
        <w:rPr>
          <w:rFonts w:asciiTheme="majorHAnsi" w:hAnsiTheme="majorHAnsi" w:cstheme="majorHAnsi"/>
          <w:b/>
          <w:bCs/>
          <w:iCs/>
          <w:sz w:val="22"/>
          <w:szCs w:val="22"/>
        </w:rPr>
        <w:t>8</w:t>
      </w:r>
      <w:r w:rsidR="00F8551A" w:rsidRPr="00F8551A">
        <w:rPr>
          <w:rFonts w:asciiTheme="majorHAnsi" w:hAnsiTheme="majorHAnsi" w:cstheme="majorHAnsi"/>
          <w:b/>
          <w:bCs/>
          <w:iCs/>
          <w:sz w:val="22"/>
          <w:szCs w:val="22"/>
        </w:rPr>
        <w:t xml:space="preserve"> </w:t>
      </w:r>
      <w:proofErr w:type="spellStart"/>
      <w:r w:rsidR="00F8551A" w:rsidRPr="00F8551A">
        <w:rPr>
          <w:rFonts w:asciiTheme="majorHAnsi" w:hAnsiTheme="majorHAnsi" w:cstheme="majorHAnsi"/>
          <w:b/>
          <w:bCs/>
          <w:iCs/>
          <w:sz w:val="22"/>
          <w:szCs w:val="22"/>
        </w:rPr>
        <w:t>europaliet</w:t>
      </w:r>
      <w:proofErr w:type="spellEnd"/>
      <w:r w:rsidR="00F8551A" w:rsidRPr="00F8551A">
        <w:rPr>
          <w:rFonts w:asciiTheme="majorHAnsi" w:hAnsiTheme="majorHAnsi" w:cstheme="majorHAnsi"/>
          <w:b/>
          <w:bCs/>
          <w:iCs/>
          <w:sz w:val="22"/>
          <w:szCs w:val="22"/>
        </w:rPr>
        <w:t xml:space="preserve"> </w:t>
      </w:r>
      <w:r w:rsidR="003D4675" w:rsidRPr="00780D9E">
        <w:rPr>
          <w:rFonts w:ascii="Calibri" w:hAnsi="Calibri" w:cs="Times New Roman"/>
          <w:sz w:val="22"/>
          <w:szCs w:val="22"/>
        </w:rPr>
        <w:t xml:space="preserve">v počte </w:t>
      </w:r>
      <w:r w:rsidR="00056644">
        <w:rPr>
          <w:rFonts w:ascii="Calibri" w:hAnsi="Calibri" w:cs="Times New Roman"/>
          <w:sz w:val="22"/>
          <w:szCs w:val="22"/>
        </w:rPr>
        <w:t>2</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2CB03DB" w14:textId="4D3CAD2F" w:rsidR="00F14705" w:rsidRPr="00F14705" w:rsidRDefault="00F8551A" w:rsidP="00F14705">
      <w:pPr>
        <w:spacing w:after="120"/>
        <w:jc w:val="both"/>
        <w:rPr>
          <w:rFonts w:asciiTheme="majorHAnsi" w:hAnsiTheme="majorHAnsi" w:cstheme="majorHAnsi"/>
          <w:sz w:val="22"/>
          <w:szCs w:val="22"/>
        </w:rPr>
      </w:pPr>
      <w:r>
        <w:rPr>
          <w:rFonts w:asciiTheme="majorHAnsi" w:hAnsiTheme="majorHAnsi" w:cstheme="majorHAnsi"/>
          <w:sz w:val="22"/>
          <w:szCs w:val="22"/>
        </w:rPr>
        <w:t>34144700-5 Úžitkové vozidlá</w:t>
      </w:r>
    </w:p>
    <w:p w14:paraId="03E21BA9" w14:textId="43D48704" w:rsidR="00F14705" w:rsidRPr="00F14705" w:rsidRDefault="00F14705" w:rsidP="00F14705">
      <w:pPr>
        <w:spacing w:after="120"/>
        <w:jc w:val="both"/>
        <w:rPr>
          <w:rFonts w:asciiTheme="majorHAnsi" w:hAnsiTheme="majorHAnsi" w:cstheme="majorHAnsi"/>
          <w:b/>
          <w:sz w:val="22"/>
          <w:szCs w:val="22"/>
        </w:rPr>
      </w:pPr>
      <w:r w:rsidRPr="00F14705">
        <w:rPr>
          <w:rFonts w:asciiTheme="majorHAnsi" w:hAnsiTheme="majorHAnsi" w:cstheme="majorHAnsi"/>
          <w:b/>
          <w:sz w:val="22"/>
          <w:szCs w:val="22"/>
        </w:rPr>
        <w:t>3. Predpokladaná hodnota zákazky</w:t>
      </w:r>
    </w:p>
    <w:p w14:paraId="144BE575" w14:textId="0243A77E"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 xml:space="preserve">PHZ bola stanovená na </w:t>
      </w:r>
      <w:r w:rsidR="00056644">
        <w:rPr>
          <w:rFonts w:asciiTheme="majorHAnsi" w:hAnsiTheme="majorHAnsi" w:cstheme="majorHAnsi"/>
          <w:sz w:val="22"/>
          <w:szCs w:val="22"/>
        </w:rPr>
        <w:t>317 333,33</w:t>
      </w:r>
      <w:r w:rsidRPr="00F14705">
        <w:rPr>
          <w:rFonts w:asciiTheme="majorHAnsi" w:hAnsiTheme="majorHAnsi" w:cstheme="majorHAnsi"/>
          <w:sz w:val="22"/>
          <w:szCs w:val="22"/>
        </w:rPr>
        <w:t xml:space="preserve"> </w:t>
      </w:r>
      <w:r w:rsidR="004C5AF7">
        <w:rPr>
          <w:rFonts w:asciiTheme="majorHAnsi" w:hAnsiTheme="majorHAnsi" w:cstheme="majorHAnsi"/>
          <w:sz w:val="22"/>
          <w:szCs w:val="22"/>
        </w:rPr>
        <w:t>EUR</w:t>
      </w:r>
      <w:r w:rsidRPr="00F14705">
        <w:rPr>
          <w:rFonts w:asciiTheme="majorHAnsi" w:hAnsiTheme="majorHAnsi" w:cstheme="majorHAnsi"/>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7895233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4C5AF7">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C758965"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14249E04"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BCECD61" w14:textId="27A9D87C" w:rsidR="004C5AF7" w:rsidRDefault="004C5AF7" w:rsidP="00F376CF">
      <w:pPr>
        <w:pStyle w:val="Default"/>
        <w:spacing w:after="120"/>
        <w:jc w:val="both"/>
        <w:rPr>
          <w:rFonts w:asciiTheme="majorHAnsi" w:hAnsiTheme="majorHAnsi" w:cstheme="majorHAnsi"/>
          <w:sz w:val="22"/>
          <w:szCs w:val="22"/>
        </w:rPr>
      </w:pPr>
    </w:p>
    <w:p w14:paraId="39E2C325" w14:textId="77777777" w:rsidR="004C5AF7" w:rsidRPr="00D15A06" w:rsidRDefault="004C5AF7"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919D6" w14:textId="77777777" w:rsidR="00143A07" w:rsidRDefault="00143A07">
      <w:r>
        <w:separator/>
      </w:r>
    </w:p>
  </w:endnote>
  <w:endnote w:type="continuationSeparator" w:id="0">
    <w:p w14:paraId="053B8441" w14:textId="77777777" w:rsidR="00143A07" w:rsidRDefault="0014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B439" w14:textId="77777777" w:rsidR="00143A07" w:rsidRDefault="00143A07">
      <w:r>
        <w:separator/>
      </w:r>
    </w:p>
  </w:footnote>
  <w:footnote w:type="continuationSeparator" w:id="0">
    <w:p w14:paraId="76FA3C8C" w14:textId="77777777" w:rsidR="00143A07" w:rsidRDefault="00143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56644"/>
    <w:rsid w:val="00072AF5"/>
    <w:rsid w:val="0008457A"/>
    <w:rsid w:val="000936AF"/>
    <w:rsid w:val="000A1657"/>
    <w:rsid w:val="000A2023"/>
    <w:rsid w:val="000E1D98"/>
    <w:rsid w:val="000F6BC5"/>
    <w:rsid w:val="001234E8"/>
    <w:rsid w:val="00143A07"/>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85A53"/>
    <w:rsid w:val="004933B6"/>
    <w:rsid w:val="004A501F"/>
    <w:rsid w:val="004B7656"/>
    <w:rsid w:val="004C0280"/>
    <w:rsid w:val="004C4423"/>
    <w:rsid w:val="004C5AF7"/>
    <w:rsid w:val="004D3AF2"/>
    <w:rsid w:val="004F18C6"/>
    <w:rsid w:val="00501E67"/>
    <w:rsid w:val="00522D0D"/>
    <w:rsid w:val="00545590"/>
    <w:rsid w:val="00562736"/>
    <w:rsid w:val="005B73B0"/>
    <w:rsid w:val="006171CC"/>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B6FA4"/>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1737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45439"/>
    <w:rsid w:val="00D65E6D"/>
    <w:rsid w:val="00DD0BD5"/>
    <w:rsid w:val="00E16BFD"/>
    <w:rsid w:val="00E16E64"/>
    <w:rsid w:val="00E30F15"/>
    <w:rsid w:val="00E61834"/>
    <w:rsid w:val="00E66D58"/>
    <w:rsid w:val="00E83B41"/>
    <w:rsid w:val="00ED1237"/>
    <w:rsid w:val="00EF7F5F"/>
    <w:rsid w:val="00F14705"/>
    <w:rsid w:val="00F376CF"/>
    <w:rsid w:val="00F455AC"/>
    <w:rsid w:val="00F52006"/>
    <w:rsid w:val="00F55FEC"/>
    <w:rsid w:val="00F621CD"/>
    <w:rsid w:val="00F72712"/>
    <w:rsid w:val="00F8551A"/>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2683</Words>
  <Characters>15298</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Dell</cp:lastModifiedBy>
  <cp:revision>16</cp:revision>
  <cp:lastPrinted>2018-04-05T09:44:00Z</cp:lastPrinted>
  <dcterms:created xsi:type="dcterms:W3CDTF">2023-02-15T16:50:00Z</dcterms:created>
  <dcterms:modified xsi:type="dcterms:W3CDTF">2023-02-16T14:43:00Z</dcterms:modified>
</cp:coreProperties>
</file>