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F2" w:rsidRPr="00436768" w:rsidRDefault="007130F2" w:rsidP="007130F2">
      <w:pPr>
        <w:widowControl/>
        <w:shd w:val="clear" w:color="auto" w:fill="F2F2F2" w:themeFill="background1" w:themeFillShade="F2"/>
        <w:suppressAutoHyphens w:val="0"/>
        <w:ind w:right="-426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7130F2" w:rsidRPr="009D3357" w:rsidRDefault="007130F2" w:rsidP="007130F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5954"/>
      </w:tblGrid>
      <w:tr w:rsidR="007130F2" w:rsidRPr="004B5F4E" w:rsidTr="007130F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130F2" w:rsidRPr="004B5F4E" w:rsidRDefault="007130F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F2" w:rsidRPr="00AB6E67" w:rsidRDefault="007130F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7130F2" w:rsidRPr="004B5F4E" w:rsidTr="007130F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130F2" w:rsidRPr="004B5F4E" w:rsidRDefault="007130F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F2" w:rsidRPr="00AB6E67" w:rsidRDefault="007130F2" w:rsidP="005E16A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2023-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Mesto Tornaľa</w:t>
            </w:r>
          </w:p>
        </w:tc>
      </w:tr>
    </w:tbl>
    <w:p w:rsidR="007130F2" w:rsidRPr="009D3357" w:rsidRDefault="007130F2" w:rsidP="007130F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7130F2" w:rsidRPr="009D3357" w:rsidRDefault="007130F2" w:rsidP="007130F2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7130F2" w:rsidRPr="00436768" w:rsidRDefault="007130F2" w:rsidP="007130F2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7130F2" w:rsidRDefault="007130F2" w:rsidP="007130F2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7130F2" w:rsidRPr="009D3357" w:rsidRDefault="007130F2" w:rsidP="007130F2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5812"/>
      </w:tblGrid>
      <w:tr w:rsidR="007130F2" w:rsidTr="00480272">
        <w:trPr>
          <w:cantSplit/>
          <w:trHeight w:val="51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 skupina dodávateľov  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0F2" w:rsidRDefault="007130F2" w:rsidP="0048027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7130F2" w:rsidTr="00480272">
        <w:trPr>
          <w:cantSplit/>
          <w:trHeight w:val="303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uchádzača/skupina dodávateľov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0F2" w:rsidRDefault="007130F2" w:rsidP="0048027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130F2" w:rsidRPr="009D3357" w:rsidRDefault="007130F2" w:rsidP="007130F2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7130F2" w:rsidRDefault="007130F2" w:rsidP="007130F2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7130F2" w:rsidRPr="00497A00" w:rsidRDefault="007130F2" w:rsidP="007130F2">
      <w:pPr>
        <w:tabs>
          <w:tab w:val="left" w:pos="3690"/>
          <w:tab w:val="left" w:pos="5784"/>
        </w:tabs>
        <w:autoSpaceDE w:val="0"/>
        <w:ind w:right="255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3F3830">
        <w:rPr>
          <w:rFonts w:ascii="Calibri" w:hAnsi="Calibri" w:cs="Calibri"/>
          <w:b/>
          <w:bCs/>
          <w:u w:val="single"/>
          <w:lang w:eastAsia="sk-SK"/>
        </w:rPr>
        <w:t>1. Kritérium – „Navrhovaná zmluvná cena</w:t>
      </w:r>
      <w:r>
        <w:rPr>
          <w:rFonts w:ascii="Calibri" w:hAnsi="Calibri" w:cs="Calibri"/>
          <w:b/>
          <w:bCs/>
          <w:u w:val="single"/>
          <w:lang w:eastAsia="sk-SK"/>
        </w:rPr>
        <w:t xml:space="preserve"> celkom</w:t>
      </w:r>
      <w:r w:rsidRPr="003F3830">
        <w:rPr>
          <w:rFonts w:ascii="Calibri" w:hAnsi="Calibri" w:cs="Calibri"/>
          <w:b/>
          <w:bCs/>
          <w:u w:val="single"/>
          <w:lang w:eastAsia="sk-SK"/>
        </w:rPr>
        <w:t>“:</w:t>
      </w:r>
      <w:r>
        <w:rPr>
          <w:rFonts w:ascii="Calibri" w:hAnsi="Calibri" w:cs="Calibri"/>
          <w:b/>
          <w:bCs/>
          <w:lang w:eastAsia="sk-SK"/>
        </w:rPr>
        <w:t xml:space="preserve"> </w:t>
      </w:r>
      <w:r>
        <w:rPr>
          <w:rFonts w:ascii="Calibri" w:hAnsi="Calibri" w:cs="Calibri"/>
          <w:b/>
          <w:bCs/>
          <w:lang w:eastAsia="sk-SK"/>
        </w:rPr>
        <w:tab/>
      </w:r>
      <w:r w:rsidRPr="007130F2">
        <w:rPr>
          <w:rFonts w:ascii="Calibri" w:hAnsi="Calibri" w:cs="Calibri"/>
          <w:b/>
          <w:bCs/>
          <w:i/>
          <w:lang w:eastAsia="sk-SK"/>
        </w:rPr>
        <w:t>(relatívna  váha 92%)</w:t>
      </w:r>
    </w:p>
    <w:p w:rsidR="007130F2" w:rsidRPr="009D3357" w:rsidRDefault="007130F2" w:rsidP="007130F2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7130F2" w:rsidRPr="00CD3D5A" w:rsidRDefault="007130F2" w:rsidP="007130F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CD3D5A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Vypĺňa uchádzač, ktorý je platcom DPH</w:t>
      </w:r>
    </w:p>
    <w:tbl>
      <w:tblPr>
        <w:tblW w:w="943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9"/>
        <w:gridCol w:w="4113"/>
      </w:tblGrid>
      <w:tr w:rsidR="007130F2" w:rsidTr="007130F2">
        <w:trPr>
          <w:trHeight w:val="348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Navrhovaná zmluvná cena bez DPH (EUR)</w:t>
            </w:r>
          </w:p>
        </w:tc>
        <w:tc>
          <w:tcPr>
            <w:tcW w:w="4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130F2" w:rsidTr="007130F2">
        <w:trPr>
          <w:trHeight w:val="348"/>
        </w:trPr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(%) 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130F2" w:rsidTr="007130F2">
        <w:trPr>
          <w:trHeight w:val="348"/>
        </w:trPr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130F2" w:rsidTr="007130F2">
        <w:trPr>
          <w:trHeight w:val="348"/>
        </w:trPr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Navrhovaná zmluvná cena celkom s DPH </w:t>
            </w:r>
          </w:p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(„ navrhovaná zmluvná cena celkom“)  </w:t>
            </w:r>
            <w:r w:rsidRPr="003F3830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7130F2" w:rsidRDefault="007130F2" w:rsidP="007130F2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7130F2" w:rsidRDefault="007130F2" w:rsidP="007130F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7130F2" w:rsidRPr="00CD3D5A" w:rsidRDefault="007130F2" w:rsidP="007130F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CD3D5A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Vypĺňa uchádzač, ktorý nie je platcom DPH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7130F2" w:rsidTr="00480272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Celková navrhovaná zmluvná cena</w:t>
            </w:r>
          </w:p>
          <w:p w:rsidR="007130F2" w:rsidRDefault="007130F2" w:rsidP="00480272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(„ navrhovaná zmluvná cena celkom“)     </w:t>
            </w:r>
            <w:r w:rsidRPr="003F3830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(EUR)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130F2" w:rsidRDefault="007130F2" w:rsidP="00480272">
            <w:pPr>
              <w:widowControl/>
              <w:suppressAutoHyphens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7130F2" w:rsidRDefault="007130F2" w:rsidP="007130F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7130F2" w:rsidRDefault="007130F2" w:rsidP="007130F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7130F2" w:rsidRPr="009D3357" w:rsidRDefault="007130F2" w:rsidP="007130F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7130F2" w:rsidRPr="009D3357" w:rsidRDefault="007130F2" w:rsidP="007130F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7130F2" w:rsidRDefault="007130F2" w:rsidP="007130F2">
      <w:pPr>
        <w:widowControl/>
        <w:suppressAutoHyphens w:val="0"/>
        <w:jc w:val="both"/>
        <w:rPr>
          <w:rFonts w:ascii="Calibri" w:hAnsi="Calibri" w:cs="Calibri"/>
          <w:bCs/>
          <w:i/>
          <w:lang w:eastAsia="sk-SK"/>
        </w:rPr>
      </w:pPr>
      <w:r w:rsidRPr="00CD3D5A">
        <w:rPr>
          <w:rFonts w:ascii="Calibri" w:hAnsi="Calibri" w:cs="Calibri"/>
          <w:b/>
          <w:bCs/>
          <w:u w:val="single"/>
          <w:lang w:eastAsia="sk-SK"/>
        </w:rPr>
        <w:t xml:space="preserve">2. kritérium: „Miesto umiestnenia odpadu – skládka </w:t>
      </w:r>
      <w:proofErr w:type="spellStart"/>
      <w:r w:rsidRPr="00CD3D5A">
        <w:rPr>
          <w:rFonts w:ascii="Calibri" w:hAnsi="Calibri" w:cs="Calibri"/>
          <w:b/>
          <w:bCs/>
          <w:u w:val="single"/>
          <w:lang w:eastAsia="sk-SK"/>
        </w:rPr>
        <w:t>k.ú</w:t>
      </w:r>
      <w:proofErr w:type="spellEnd"/>
      <w:r w:rsidRPr="00CD3D5A">
        <w:rPr>
          <w:rFonts w:ascii="Calibri" w:hAnsi="Calibri" w:cs="Calibri"/>
          <w:b/>
          <w:bCs/>
          <w:u w:val="single"/>
          <w:lang w:eastAsia="sk-SK"/>
        </w:rPr>
        <w:t xml:space="preserve"> </w:t>
      </w:r>
      <w:proofErr w:type="spellStart"/>
      <w:r w:rsidRPr="00CD3D5A">
        <w:rPr>
          <w:rFonts w:ascii="Calibri" w:hAnsi="Calibri" w:cs="Calibri"/>
          <w:b/>
          <w:bCs/>
          <w:u w:val="single"/>
          <w:lang w:eastAsia="sk-SK"/>
        </w:rPr>
        <w:t>Starňa</w:t>
      </w:r>
      <w:proofErr w:type="spellEnd"/>
      <w:r w:rsidRPr="00CD3D5A">
        <w:rPr>
          <w:rFonts w:ascii="Calibri" w:hAnsi="Calibri" w:cs="Calibri"/>
          <w:b/>
          <w:bCs/>
          <w:u w:val="single"/>
          <w:lang w:eastAsia="sk-SK"/>
        </w:rPr>
        <w:t>“</w:t>
      </w:r>
      <w:r w:rsidRPr="003F3830">
        <w:rPr>
          <w:rFonts w:ascii="Calibri" w:hAnsi="Calibri" w:cs="Calibri"/>
          <w:b/>
          <w:bCs/>
          <w:lang w:eastAsia="sk-SK"/>
        </w:rPr>
        <w:t>:</w:t>
      </w:r>
      <w:r>
        <w:rPr>
          <w:rFonts w:ascii="Calibri" w:hAnsi="Calibri" w:cs="Calibri"/>
          <w:b/>
          <w:bCs/>
          <w:lang w:eastAsia="sk-SK"/>
        </w:rPr>
        <w:t xml:space="preserve">    </w:t>
      </w:r>
      <w:r w:rsidRPr="007130F2">
        <w:rPr>
          <w:rFonts w:ascii="Calibri" w:hAnsi="Calibri" w:cs="Calibri"/>
          <w:b/>
          <w:bCs/>
          <w:lang w:eastAsia="sk-SK"/>
        </w:rPr>
        <w:t>(</w:t>
      </w:r>
      <w:r w:rsidRPr="007130F2">
        <w:rPr>
          <w:rFonts w:ascii="Calibri" w:hAnsi="Calibri" w:cs="Calibri"/>
          <w:b/>
          <w:bCs/>
          <w:i/>
          <w:lang w:eastAsia="sk-SK"/>
        </w:rPr>
        <w:t>relatívna váha 8%)</w:t>
      </w:r>
    </w:p>
    <w:p w:rsidR="007130F2" w:rsidRDefault="007130F2" w:rsidP="007130F2">
      <w:pPr>
        <w:widowControl/>
        <w:suppressAutoHyphens w:val="0"/>
        <w:jc w:val="both"/>
        <w:rPr>
          <w:rFonts w:ascii="Calibri" w:hAnsi="Calibri" w:cs="Calibri"/>
          <w:bCs/>
          <w:i/>
          <w:lang w:eastAsia="sk-SK"/>
        </w:rPr>
      </w:pP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9"/>
        <w:gridCol w:w="3544"/>
      </w:tblGrid>
      <w:tr w:rsidR="007130F2" w:rsidRPr="003F3830" w:rsidTr="007130F2">
        <w:trPr>
          <w:trHeight w:val="288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130F2" w:rsidRPr="003F3830" w:rsidRDefault="007130F2" w:rsidP="00480272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130F2" w:rsidRPr="003F3830" w:rsidRDefault="007130F2" w:rsidP="0048027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F383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k-SK"/>
              </w:rPr>
              <w:t>Uviesť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k-SK"/>
              </w:rPr>
              <w:t xml:space="preserve">: </w:t>
            </w:r>
            <w:r w:rsidRPr="003F383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k-SK"/>
              </w:rPr>
              <w:t xml:space="preserve"> </w:t>
            </w:r>
            <w:r w:rsidRPr="003F38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ÁNO alebo NIE</w:t>
            </w:r>
          </w:p>
        </w:tc>
      </w:tr>
      <w:tr w:rsidR="007130F2" w:rsidRPr="003F3830" w:rsidTr="007130F2">
        <w:trPr>
          <w:trHeight w:val="609"/>
        </w:trPr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0F2" w:rsidRPr="003F3830" w:rsidRDefault="007130F2" w:rsidP="00480272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Všetok odpad zo zberu mesta Tornaľa bude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u</w:t>
            </w: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miestňovaný na skládke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v </w:t>
            </w: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k. ú </w:t>
            </w:r>
            <w:proofErr w:type="spellStart"/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Starňa</w:t>
            </w:r>
            <w:proofErr w:type="spellEnd"/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čo preukazujem zmluvou o uskladnení odpadu na skládke </w:t>
            </w:r>
            <w:proofErr w:type="spellStart"/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k.ú</w:t>
            </w:r>
            <w:proofErr w:type="spellEnd"/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Starňa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F2" w:rsidRPr="003F3830" w:rsidRDefault="007130F2" w:rsidP="0048027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7130F2" w:rsidRDefault="007130F2" w:rsidP="007130F2">
      <w:pPr>
        <w:widowControl/>
        <w:suppressAutoHyphens w:val="0"/>
        <w:jc w:val="both"/>
        <w:rPr>
          <w:rFonts w:ascii="Calibri" w:hAnsi="Calibri" w:cs="Calibri"/>
          <w:bCs/>
          <w:i/>
          <w:lang w:eastAsia="sk-SK"/>
        </w:rPr>
      </w:pPr>
    </w:p>
    <w:p w:rsidR="007130F2" w:rsidRDefault="007130F2" w:rsidP="007130F2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>V ..............................dňa</w:t>
      </w:r>
      <w:r>
        <w:rPr>
          <w:rFonts w:asciiTheme="minorHAnsi" w:hAnsiTheme="minorHAnsi" w:cs="Calibri Light"/>
          <w:color w:val="000000"/>
          <w:sz w:val="20"/>
          <w:szCs w:val="20"/>
        </w:rPr>
        <w:t>...........................</w:t>
      </w:r>
      <w:r>
        <w:rPr>
          <w:rFonts w:asciiTheme="minorHAnsi" w:hAnsiTheme="minorHAnsi" w:cs="Calibri Light"/>
          <w:color w:val="000000"/>
          <w:sz w:val="20"/>
          <w:szCs w:val="20"/>
        </w:rPr>
        <w:t xml:space="preserve"> </w:t>
      </w:r>
    </w:p>
    <w:p w:rsidR="007130F2" w:rsidRDefault="007130F2" w:rsidP="007130F2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130F2" w:rsidRDefault="007130F2" w:rsidP="007130F2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130F2" w:rsidRDefault="007130F2" w:rsidP="007130F2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7130F2" w:rsidRDefault="007130F2" w:rsidP="007130F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7130F2" w:rsidRPr="009D3357" w:rsidRDefault="007130F2" w:rsidP="007130F2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3D73BC" w:rsidRDefault="007130F2" w:rsidP="007130F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</w:t>
      </w:r>
    </w:p>
    <w:sectPr w:rsidR="003D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F2"/>
    <w:rsid w:val="003D73BC"/>
    <w:rsid w:val="005E16AF"/>
    <w:rsid w:val="0071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1859"/>
  <w15:chartTrackingRefBased/>
  <w15:docId w15:val="{3B356B70-B668-466E-9F27-06B378B4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30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7130F2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2</cp:revision>
  <dcterms:created xsi:type="dcterms:W3CDTF">2023-02-19T21:02:00Z</dcterms:created>
  <dcterms:modified xsi:type="dcterms:W3CDTF">2023-02-19T21:04:00Z</dcterms:modified>
</cp:coreProperties>
</file>