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4654B813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3142D2">
        <w:rPr>
          <w:rFonts w:ascii="Arial Narrow" w:hAnsi="Arial Narrow" w:cs="Arial Narrow"/>
          <w:b/>
          <w:bCs/>
          <w:sz w:val="32"/>
          <w:szCs w:val="32"/>
        </w:rPr>
        <w:t>3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3142D2">
        <w:rPr>
          <w:rFonts w:ascii="Arial Narrow" w:hAnsi="Arial Narrow" w:cs="Arial Narrow"/>
          <w:b/>
          <w:bCs/>
          <w:sz w:val="32"/>
          <w:szCs w:val="32"/>
        </w:rPr>
        <w:t>3754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19550290" w14:textId="6358FFC2" w:rsidR="00C030E7" w:rsidRPr="003142D2" w:rsidRDefault="003142D2" w:rsidP="0091435F">
      <w:pPr>
        <w:spacing w:after="120"/>
        <w:jc w:val="center"/>
        <w:rPr>
          <w:rFonts w:ascii="Arial Narrow" w:hAnsi="Arial Narrow" w:cs="Arial Narrow"/>
          <w:b/>
          <w:bCs/>
        </w:rPr>
      </w:pPr>
      <w:r w:rsidRPr="003142D2">
        <w:rPr>
          <w:rFonts w:ascii="Arial Narrow" w:hAnsi="Arial Narrow" w:cs="Arial Narrow"/>
          <w:b/>
          <w:bCs/>
        </w:rPr>
        <w:t>n</w:t>
      </w:r>
      <w:r w:rsidR="00C030E7" w:rsidRPr="003142D2">
        <w:rPr>
          <w:rFonts w:ascii="Arial Narrow" w:hAnsi="Arial Narrow" w:cs="Arial Narrow"/>
          <w:b/>
          <w:bCs/>
        </w:rPr>
        <w:t xml:space="preserve">a nákup </w:t>
      </w:r>
      <w:r w:rsidRPr="003142D2">
        <w:rPr>
          <w:rFonts w:ascii="Arial Narrow" w:hAnsi="Arial Narrow" w:cs="Arial Narrow"/>
          <w:b/>
          <w:bCs/>
        </w:rPr>
        <w:t>Výbuchových komôr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09C5D8D" w14:textId="6B15FA8A" w:rsidR="003142D2" w:rsidRDefault="0062748F" w:rsidP="003142D2">
      <w:pPr>
        <w:ind w:left="2127" w:hanging="2127"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492D4E">
        <w:rPr>
          <w:rFonts w:ascii="Arial Narrow" w:hAnsi="Arial Narrow" w:cs="Arial Narrow"/>
          <w:sz w:val="22"/>
          <w:szCs w:val="22"/>
        </w:rPr>
        <w:t xml:space="preserve">          </w:t>
      </w:r>
      <w:r w:rsidR="003142D2">
        <w:rPr>
          <w:rFonts w:ascii="Arial Narrow" w:hAnsi="Arial Narrow" w:cs="Arial Narrow"/>
          <w:sz w:val="22"/>
          <w:szCs w:val="22"/>
        </w:rPr>
        <w:t xml:space="preserve">     </w:t>
      </w:r>
      <w:r w:rsidR="003142D2" w:rsidRPr="00137CF8">
        <w:rPr>
          <w:rFonts w:ascii="Arial Narrow" w:hAnsi="Arial Narrow"/>
          <w:sz w:val="22"/>
          <w:szCs w:val="22"/>
        </w:rPr>
        <w:t>plk. Ing. Oľga Grausová, zástupkyňa generálneho riaditeľa a</w:t>
      </w:r>
      <w:r w:rsidR="003142D2">
        <w:rPr>
          <w:rFonts w:ascii="Arial Narrow" w:hAnsi="Arial Narrow"/>
          <w:sz w:val="22"/>
          <w:szCs w:val="22"/>
        </w:rPr>
        <w:t> </w:t>
      </w:r>
      <w:r w:rsidR="003142D2" w:rsidRPr="00137CF8">
        <w:rPr>
          <w:rFonts w:ascii="Arial Narrow" w:hAnsi="Arial Narrow"/>
          <w:sz w:val="22"/>
          <w:szCs w:val="22"/>
        </w:rPr>
        <w:t>súčasne</w:t>
      </w:r>
    </w:p>
    <w:p w14:paraId="59BDA796" w14:textId="77777777" w:rsidR="003142D2" w:rsidRDefault="003142D2" w:rsidP="003142D2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137CF8">
        <w:rPr>
          <w:rFonts w:ascii="Arial Narrow" w:hAnsi="Arial Narrow"/>
          <w:sz w:val="22"/>
          <w:szCs w:val="22"/>
        </w:rPr>
        <w:t>riaditeľka organizačného odboru  sekcie ekonomiky Ministerstva vnútra</w:t>
      </w:r>
    </w:p>
    <w:p w14:paraId="5BD31CA0" w14:textId="77777777" w:rsidR="003142D2" w:rsidRDefault="003142D2" w:rsidP="003142D2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37CF8">
        <w:rPr>
          <w:rFonts w:ascii="Arial Narrow" w:hAnsi="Arial Narrow"/>
          <w:sz w:val="22"/>
          <w:szCs w:val="22"/>
        </w:rPr>
        <w:t>Slovenskej republiky,</w:t>
      </w:r>
      <w:r>
        <w:rPr>
          <w:rFonts w:ascii="Arial Narrow" w:hAnsi="Arial Narrow"/>
          <w:sz w:val="22"/>
          <w:szCs w:val="22"/>
        </w:rPr>
        <w:t xml:space="preserve"> </w:t>
      </w:r>
      <w:r w:rsidRPr="00137CF8">
        <w:rPr>
          <w:rFonts w:ascii="Arial Narrow" w:hAnsi="Arial Narrow"/>
          <w:sz w:val="22"/>
          <w:szCs w:val="22"/>
        </w:rPr>
        <w:t xml:space="preserve">na základe plnej moci č. p. SL-OPS-2022/001312-158 </w:t>
      </w:r>
    </w:p>
    <w:p w14:paraId="4CFE1EFC" w14:textId="77777777" w:rsidR="003142D2" w:rsidRPr="00137CF8" w:rsidRDefault="003142D2" w:rsidP="003142D2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37CF8">
        <w:rPr>
          <w:rFonts w:ascii="Arial Narrow" w:hAnsi="Arial Narrow"/>
          <w:sz w:val="22"/>
          <w:szCs w:val="22"/>
        </w:rPr>
        <w:t>zo dňa 18.11.2022</w:t>
      </w:r>
    </w:p>
    <w:p w14:paraId="5D71890F" w14:textId="729D1E32" w:rsidR="000865A8" w:rsidRDefault="000865A8" w:rsidP="003142D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</w:p>
    <w:p w14:paraId="1B6CDA0C" w14:textId="67A3E867" w:rsidR="0062748F" w:rsidRPr="00877D19" w:rsidRDefault="0062748F" w:rsidP="000865A8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7236C425" w14:textId="77777777" w:rsidR="00492D4E" w:rsidRDefault="00492D4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794546A" w14:textId="77777777" w:rsidR="00B21707" w:rsidRDefault="00B2170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5396656" w14:textId="77777777" w:rsidR="003142D2" w:rsidRDefault="003142D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617C1CA" w14:textId="77777777" w:rsidR="003142D2" w:rsidRDefault="003142D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7C69202D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3142D2">
        <w:rPr>
          <w:rFonts w:ascii="Arial Narrow" w:hAnsi="Arial Narrow" w:cs="Calibri"/>
          <w:sz w:val="22"/>
          <w:szCs w:val="22"/>
        </w:rPr>
        <w:t>„</w:t>
      </w:r>
      <w:r w:rsidR="00492D4E">
        <w:rPr>
          <w:rFonts w:ascii="Arial Narrow" w:hAnsi="Arial Narrow" w:cs="Calibri"/>
          <w:b/>
          <w:sz w:val="22"/>
          <w:szCs w:val="22"/>
        </w:rPr>
        <w:t>V</w:t>
      </w:r>
      <w:r w:rsidR="003142D2">
        <w:rPr>
          <w:rFonts w:ascii="Arial Narrow" w:hAnsi="Arial Narrow" w:cs="Calibri"/>
          <w:b/>
          <w:sz w:val="22"/>
          <w:szCs w:val="22"/>
        </w:rPr>
        <w:t xml:space="preserve">ýbuchové komory“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3142D2">
        <w:rPr>
          <w:rFonts w:ascii="Arial Narrow" w:hAnsi="Arial Narrow" w:cs="Calibri"/>
          <w:bCs/>
          <w:sz w:val="22"/>
          <w:szCs w:val="22"/>
        </w:rPr>
        <w:t>3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3142D2">
        <w:rPr>
          <w:rFonts w:ascii="Arial Narrow" w:hAnsi="Arial Narrow" w:cs="Calibri"/>
          <w:bCs/>
          <w:sz w:val="22"/>
          <w:szCs w:val="22"/>
        </w:rPr>
        <w:t>3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  <w:r w:rsidR="00492D4E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5240336B" w14:textId="19FC7655" w:rsidR="00492D4E" w:rsidRPr="00492D4E" w:rsidRDefault="00697AFA" w:rsidP="003142D2">
      <w:pPr>
        <w:spacing w:after="120"/>
        <w:rPr>
          <w:rFonts w:ascii="Arial Narrow" w:hAnsi="Arial Narrow"/>
          <w:sz w:val="22"/>
          <w:szCs w:val="22"/>
        </w:rPr>
      </w:pPr>
      <w:r w:rsidRPr="003142D2">
        <w:rPr>
          <w:rFonts w:ascii="Arial Narrow" w:hAnsi="Arial Narrow"/>
          <w:sz w:val="24"/>
          <w:szCs w:val="24"/>
        </w:rPr>
        <w:t xml:space="preserve">          </w:t>
      </w:r>
      <w:r w:rsidR="003142D2" w:rsidRPr="003142D2">
        <w:rPr>
          <w:rFonts w:ascii="Arial Narrow" w:hAnsi="Arial Narrow"/>
          <w:sz w:val="22"/>
          <w:szCs w:val="22"/>
        </w:rPr>
        <w:t>Výbuchové komory</w:t>
      </w:r>
      <w:r w:rsidR="003142D2">
        <w:rPr>
          <w:rFonts w:ascii="Arial Narrow" w:hAnsi="Arial Narrow"/>
          <w:sz w:val="22"/>
          <w:szCs w:val="22"/>
        </w:rPr>
        <w:t>.</w:t>
      </w:r>
      <w:r w:rsidR="003142D2" w:rsidRPr="003142D2">
        <w:rPr>
          <w:rFonts w:ascii="Arial Narrow" w:hAnsi="Arial Narrow"/>
          <w:sz w:val="22"/>
          <w:szCs w:val="22"/>
        </w:rPr>
        <w:t xml:space="preserve">  Množstvo: 2</w:t>
      </w:r>
      <w:r w:rsidR="00492D4E" w:rsidRPr="003142D2">
        <w:rPr>
          <w:rFonts w:ascii="Arial Narrow" w:hAnsi="Arial Narrow"/>
          <w:sz w:val="22"/>
          <w:szCs w:val="22"/>
        </w:rPr>
        <w:t xml:space="preserve"> ks.</w:t>
      </w:r>
      <w:r w:rsidR="00492D4E" w:rsidRPr="00697AFA">
        <w:rPr>
          <w:rFonts w:ascii="Arial Narrow" w:hAnsi="Arial Narrow"/>
          <w:sz w:val="24"/>
          <w:szCs w:val="24"/>
          <w:highlight w:val="yellow"/>
        </w:rPr>
        <w:t xml:space="preserve">           </w:t>
      </w:r>
    </w:p>
    <w:p w14:paraId="50740B26" w14:textId="53A68BE7" w:rsidR="00E40339" w:rsidRPr="00015D6A" w:rsidRDefault="000D5C36" w:rsidP="00B21707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 w:rsidRPr="00015D6A">
        <w:rPr>
          <w:rFonts w:ascii="Arial Narrow" w:hAnsi="Arial Narrow" w:cs="Calibri"/>
          <w:sz w:val="22"/>
          <w:szCs w:val="22"/>
        </w:rPr>
        <w:t>pre potreby</w:t>
      </w:r>
      <w:r w:rsidR="00697AFA" w:rsidRPr="00015D6A">
        <w:rPr>
          <w:rFonts w:ascii="Arial Narrow" w:hAnsi="Arial Narrow" w:cs="Calibri"/>
          <w:sz w:val="22"/>
          <w:szCs w:val="22"/>
        </w:rPr>
        <w:t xml:space="preserve"> </w:t>
      </w:r>
      <w:r w:rsidR="00015D6A" w:rsidRPr="00015D6A">
        <w:rPr>
          <w:rFonts w:ascii="Arial Narrow" w:hAnsi="Arial Narrow"/>
          <w:sz w:val="22"/>
          <w:szCs w:val="22"/>
        </w:rPr>
        <w:t>vybavenia pyrotechnikov Kriminalistického a expertízneho ústavu Policajného zboru</w:t>
      </w:r>
      <w:r w:rsidR="00015D6A" w:rsidRPr="00015D6A">
        <w:rPr>
          <w:szCs w:val="24"/>
        </w:rPr>
        <w:t xml:space="preserve"> </w:t>
      </w:r>
      <w:r w:rsidRPr="00015D6A">
        <w:rPr>
          <w:rFonts w:ascii="Arial Narrow" w:hAnsi="Arial Narrow" w:cs="Arial"/>
          <w:sz w:val="22"/>
          <w:szCs w:val="22"/>
          <w:lang w:eastAsia="sk-SK"/>
        </w:rPr>
        <w:t>v rámci</w:t>
      </w:r>
      <w:r w:rsidR="008C313B" w:rsidRPr="00015D6A">
        <w:rPr>
          <w:rFonts w:ascii="Arial Narrow" w:hAnsi="Arial Narrow" w:cs="Arial"/>
          <w:sz w:val="22"/>
          <w:szCs w:val="22"/>
          <w:lang w:eastAsia="sk-SK"/>
        </w:rPr>
        <w:t xml:space="preserve"> realizácie  </w:t>
      </w:r>
      <w:r w:rsidR="00015D6A" w:rsidRPr="00015D6A">
        <w:rPr>
          <w:rFonts w:ascii="Arial Narrow" w:hAnsi="Arial Narrow"/>
          <w:sz w:val="22"/>
          <w:szCs w:val="22"/>
        </w:rPr>
        <w:t>projektu v rámci Fondu pre vnútornú bezpečnosť: opatrenia pre predchádzanie rizík, zavedenie nových metód a technológií v oblasti pyrotechniky pod názvom PYRODETEC s kódovým označením SK 2019 ISF SC6/NC7</w:t>
      </w:r>
      <w:r w:rsidR="000865A8">
        <w:rPr>
          <w:rFonts w:ascii="Arial Narrow" w:hAnsi="Arial Narrow"/>
          <w:sz w:val="22"/>
          <w:szCs w:val="22"/>
        </w:rPr>
        <w:t>/</w:t>
      </w:r>
      <w:r w:rsidR="00015D6A" w:rsidRPr="00015D6A">
        <w:rPr>
          <w:rFonts w:ascii="Arial Narrow" w:hAnsi="Arial Narrow"/>
          <w:sz w:val="22"/>
          <w:szCs w:val="22"/>
        </w:rPr>
        <w:t>A2/P2,</w:t>
      </w:r>
      <w:r w:rsidR="00015D6A" w:rsidRPr="00015D6A">
        <w:rPr>
          <w:szCs w:val="24"/>
        </w:rPr>
        <w:t xml:space="preserve"> 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015D6A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 (ďalej len „tovar“)</w:t>
      </w:r>
      <w:r w:rsidR="006F23C1" w:rsidRPr="00015D6A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015D6A">
        <w:rPr>
          <w:rFonts w:ascii="Arial Narrow" w:hAnsi="Arial Narrow" w:cs="Calibri"/>
          <w:sz w:val="22"/>
          <w:szCs w:val="22"/>
        </w:rPr>
        <w:t xml:space="preserve">tejto </w:t>
      </w:r>
      <w:r w:rsidR="006F23C1" w:rsidRPr="00015D6A">
        <w:rPr>
          <w:rFonts w:ascii="Arial Narrow" w:hAnsi="Arial Narrow" w:cs="Calibri"/>
          <w:sz w:val="22"/>
          <w:szCs w:val="22"/>
        </w:rPr>
        <w:t>zmluvy</w:t>
      </w:r>
      <w:r w:rsidR="00E97A3E" w:rsidRPr="00015D6A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 w:rsidRPr="00015D6A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015D6A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015D6A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Pr="00015D6A">
        <w:rPr>
          <w:rFonts w:ascii="Arial Narrow" w:hAnsi="Arial Narrow" w:cs="Calibri"/>
          <w:sz w:val="22"/>
          <w:szCs w:val="22"/>
        </w:rPr>
        <w:t>a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015D6A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015D6A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015D6A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015D6A">
        <w:rPr>
          <w:rFonts w:ascii="Arial Narrow" w:hAnsi="Arial Narrow" w:cs="Calibri"/>
          <w:sz w:val="22"/>
          <w:szCs w:val="22"/>
        </w:rPr>
        <w:t xml:space="preserve">, </w:t>
      </w:r>
      <w:r w:rsidR="00EC2C5D" w:rsidRPr="00015D6A">
        <w:rPr>
          <w:rFonts w:ascii="Arial Narrow" w:hAnsi="Arial Narrow" w:cs="Calibri"/>
          <w:sz w:val="22"/>
          <w:szCs w:val="22"/>
        </w:rPr>
        <w:t>zaškoleni</w:t>
      </w:r>
      <w:r w:rsidR="00F37616" w:rsidRPr="00015D6A">
        <w:rPr>
          <w:rFonts w:ascii="Arial Narrow" w:hAnsi="Arial Narrow" w:cs="Calibri"/>
          <w:sz w:val="22"/>
          <w:szCs w:val="22"/>
        </w:rPr>
        <w:t>e</w:t>
      </w:r>
      <w:r w:rsidRPr="00015D6A">
        <w:rPr>
          <w:rFonts w:ascii="Arial Narrow" w:hAnsi="Arial Narrow" w:cs="Calibri"/>
          <w:sz w:val="22"/>
          <w:szCs w:val="22"/>
        </w:rPr>
        <w:t xml:space="preserve"> obsluhy</w:t>
      </w:r>
      <w:r w:rsidR="00297231" w:rsidRPr="00015D6A">
        <w:rPr>
          <w:rFonts w:ascii="Arial Narrow" w:hAnsi="Arial Narrow" w:cs="Calibri"/>
          <w:sz w:val="22"/>
          <w:szCs w:val="22"/>
        </w:rPr>
        <w:t>, poskytovanie autorizovaného záručného servisu na náklady predávajúceho</w:t>
      </w:r>
      <w:r w:rsidR="00C92773" w:rsidRPr="00015D6A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5A2ECC0E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3142D2">
        <w:rPr>
          <w:rFonts w:ascii="Arial Narrow" w:hAnsi="Arial Narrow" w:cs="Calibri"/>
          <w:sz w:val="22"/>
          <w:szCs w:val="22"/>
        </w:rPr>
        <w:t>piatich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3142D2">
        <w:rPr>
          <w:rFonts w:ascii="Arial Narrow" w:hAnsi="Arial Narrow" w:cs="Calibri"/>
          <w:sz w:val="22"/>
          <w:szCs w:val="22"/>
        </w:rPr>
        <w:t>5</w:t>
      </w:r>
      <w:r w:rsidR="00EA409C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699E6E3" w14:textId="404FBD41" w:rsidR="00015D6A" w:rsidRPr="0033228B" w:rsidRDefault="00015D6A" w:rsidP="00015D6A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val="sk-SK" w:eastAsia="en-US"/>
        </w:rPr>
        <w:t xml:space="preserve">    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25802672" w14:textId="0CF02FEB" w:rsidR="00015D6A" w:rsidRPr="000865A8" w:rsidRDefault="00015D6A" w:rsidP="003142D2">
      <w:pPr>
        <w:pStyle w:val="Odsekzoznamu"/>
        <w:spacing w:after="120"/>
        <w:ind w:left="35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Calibri" w:hAnsi="Arial Narrow"/>
          <w:sz w:val="24"/>
          <w:szCs w:val="24"/>
          <w:lang w:val="sk-SK" w:eastAsia="en-US"/>
        </w:rPr>
        <w:t xml:space="preserve">   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 xml:space="preserve">- </w:t>
      </w:r>
      <w:r w:rsidRPr="000865A8">
        <w:rPr>
          <w:rFonts w:ascii="Arial Narrow" w:eastAsia="Calibri" w:hAnsi="Arial Narrow"/>
          <w:sz w:val="22"/>
          <w:szCs w:val="22"/>
          <w:lang w:eastAsia="en-US"/>
        </w:rPr>
        <w:t>S</w:t>
      </w:r>
      <w:r w:rsidR="003142D2">
        <w:rPr>
          <w:rFonts w:ascii="Arial Narrow" w:eastAsia="Calibri" w:hAnsi="Arial Narrow"/>
          <w:sz w:val="22"/>
          <w:szCs w:val="22"/>
          <w:lang w:eastAsia="en-US"/>
        </w:rPr>
        <w:t>klabinská 1, Bratislava.</w:t>
      </w:r>
      <w:r w:rsidRPr="000865A8">
        <w:rPr>
          <w:rFonts w:ascii="Arial Narrow" w:eastAsia="Calibri" w:hAnsi="Arial Narrow"/>
          <w:sz w:val="22"/>
          <w:szCs w:val="22"/>
          <w:lang w:val="sk-SK" w:eastAsia="en-US"/>
        </w:rPr>
        <w:t xml:space="preserve">      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30FC1CF" w:rsidR="00F37616" w:rsidRPr="001F3ED7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</w:t>
      </w:r>
      <w:r w:rsidR="001F3ED7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BE30F5">
        <w:rPr>
          <w:rFonts w:ascii="Arial Narrow" w:hAnsi="Arial Narrow"/>
          <w:sz w:val="22"/>
          <w:szCs w:val="22"/>
        </w:rPr>
        <w:t xml:space="preserve">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>
        <w:rPr>
          <w:rFonts w:ascii="Arial Narrow" w:hAnsi="Arial Narrow"/>
          <w:sz w:val="22"/>
          <w:szCs w:val="22"/>
        </w:rPr>
        <w:t xml:space="preserve"> a údržbu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="004F5089" w:rsidRPr="00BE30F5">
        <w:rPr>
          <w:rFonts w:ascii="Arial Narrow" w:hAnsi="Arial Narrow"/>
          <w:sz w:val="22"/>
          <w:szCs w:val="22"/>
        </w:rPr>
        <w:t xml:space="preserve">tovaru </w:t>
      </w:r>
      <w:r w:rsidR="005F586D">
        <w:rPr>
          <w:rFonts w:ascii="Arial Narrow" w:hAnsi="Arial Narrow"/>
          <w:sz w:val="22"/>
          <w:szCs w:val="22"/>
        </w:rPr>
        <w:t>podľa prílohy č.1 Opis predmetu zákazky</w:t>
      </w:r>
      <w:r w:rsidR="00371393" w:rsidRPr="001F3ED7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603BDFD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F2600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16B829A0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1F3ED7">
        <w:rPr>
          <w:rFonts w:ascii="Arial Narrow" w:hAnsi="Arial Narrow"/>
          <w:sz w:val="22"/>
          <w:szCs w:val="22"/>
        </w:rPr>
        <w:t xml:space="preserve">číslo a </w:t>
      </w:r>
      <w:r w:rsidR="00487DF6" w:rsidRPr="001F3ED7">
        <w:rPr>
          <w:rFonts w:ascii="Arial Narrow" w:hAnsi="Arial Narrow"/>
          <w:sz w:val="22"/>
          <w:szCs w:val="22"/>
        </w:rPr>
        <w:t>názov projektu</w:t>
      </w:r>
      <w:r w:rsidR="00A747AE" w:rsidRPr="001F3ED7">
        <w:rPr>
          <w:rFonts w:ascii="Arial Narrow" w:hAnsi="Arial Narrow"/>
          <w:sz w:val="22"/>
          <w:szCs w:val="22"/>
        </w:rPr>
        <w:t xml:space="preserve"> 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SK 2019 ISF SC6/NC7/A2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/P2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 xml:space="preserve"> „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PYRODETEC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Kupujúci a predávajúci</w:t>
      </w:r>
      <w:r w:rsidR="00433CBB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433CBB">
        <w:rPr>
          <w:rFonts w:ascii="Arial Narrow" w:hAnsi="Arial Narrow"/>
          <w:sz w:val="22"/>
          <w:szCs w:val="22"/>
        </w:rPr>
        <w:t>é</w:t>
      </w:r>
      <w:r w:rsidR="00433CBB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433CBB">
        <w:rPr>
          <w:rFonts w:ascii="Arial Narrow" w:hAnsi="Arial Narrow"/>
          <w:sz w:val="22"/>
          <w:szCs w:val="22"/>
        </w:rPr>
        <w:t xml:space="preserve">Slovenskej republiky </w:t>
      </w:r>
      <w:r w:rsidR="00433CBB" w:rsidRPr="00346C44">
        <w:rPr>
          <w:rFonts w:ascii="Arial Narrow" w:hAnsi="Arial Narrow"/>
          <w:sz w:val="22"/>
          <w:szCs w:val="22"/>
        </w:rPr>
        <w:t>vo svojom publikačnom orgáne</w:t>
      </w:r>
      <w:r w:rsidR="00433CBB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lastRenderedPageBreak/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DDC016F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3F3F49">
        <w:rPr>
          <w:rFonts w:ascii="Arial Narrow" w:hAnsi="Arial Narrow"/>
          <w:sz w:val="22"/>
          <w:szCs w:val="22"/>
        </w:rPr>
        <w:t xml:space="preserve">min. </w:t>
      </w:r>
      <w:r w:rsidR="00FD7659" w:rsidRPr="003F3F49">
        <w:rPr>
          <w:rFonts w:ascii="Arial Narrow" w:hAnsi="Arial Narrow"/>
          <w:sz w:val="22"/>
          <w:szCs w:val="22"/>
        </w:rPr>
        <w:t xml:space="preserve">dvadsať štyri (24)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55BDDEA9" w14:textId="77777777" w:rsidR="00B0170B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Popri nárokoch ustanovených v bode 6.4. tohto článku tejto zmluvy má kupujúci nárok na náhradu škody.</w:t>
      </w:r>
    </w:p>
    <w:p w14:paraId="4584207C" w14:textId="76CBE8CD" w:rsidR="00B0170B" w:rsidRPr="00BE30F5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V prípade nárokov kupujúceho podľa bodu 6.4. písm. b) a c) tohto článku tejto zmluvy je predávajúci povinný dodať chýbajúce množstvo tovaru alebo jeho časti alebo vymeniť vadný tovar za tovar bez vád v lehote do </w:t>
      </w:r>
      <w:r>
        <w:rPr>
          <w:rFonts w:ascii="Arial Narrow" w:hAnsi="Arial Narrow" w:cs="Calibri"/>
          <w:sz w:val="22"/>
          <w:szCs w:val="22"/>
        </w:rPr>
        <w:t xml:space="preserve">15 dní </w:t>
      </w:r>
      <w:r>
        <w:rPr>
          <w:rFonts w:ascii="Arial Narrow" w:hAnsi="Arial Narrow" w:cs="Calibri"/>
          <w:sz w:val="22"/>
          <w:szCs w:val="22"/>
        </w:rPr>
        <w:t>odo dňa doručenia reklamácie v zmysle tohto článku tejto zmluvy. V tomto prípade zabezpečí odobratie vadného tovaru z miesta jeho dodania a dodanie bezchybného tovaru alebo jeho chýbajúceho množstva na miesto jeho dodania predávajúci na vlastné náklady.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FD765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541D6829" w14:textId="77777777" w:rsidR="00122BFF" w:rsidRPr="00F27B9F" w:rsidRDefault="00122BFF" w:rsidP="00122BFF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0731C4D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1B5A0F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69060B37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928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6B829F5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522E786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5BCD6CBE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2D19BB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6E50EFB6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320906B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1F54509C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00A5433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F1181CE" w14:textId="77777777" w:rsidR="00122BFF" w:rsidRPr="00F27B9F" w:rsidRDefault="00122BFF" w:rsidP="00122BFF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3844CC5E" w14:textId="77777777" w:rsidR="00FD7659" w:rsidRDefault="00FD7659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29006FB9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8553374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460D0990" w:rsidR="00613A8C" w:rsidRDefault="0077096A" w:rsidP="00B0170B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9D4223">
        <w:rPr>
          <w:rFonts w:ascii="Arial Narrow" w:hAnsi="Arial Narrow" w:cs="Calibri"/>
          <w:sz w:val="22"/>
          <w:szCs w:val="22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45C464C7" w14:textId="77777777" w:rsidR="00B0170B" w:rsidRPr="00BE30F5" w:rsidRDefault="00B0170B" w:rsidP="00B0170B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 prípade nepravdivosti vyhlásenia Predávajúceho, ktoré je uvedené v bode 7.5. tejto zmluvy, je Predávajúci povinný zaplatiť Kupujúcemu zmluvnú pokutu vo výške 30 000,- EUR.</w:t>
      </w:r>
    </w:p>
    <w:p w14:paraId="7E8AE209" w14:textId="77777777" w:rsidR="009A582A" w:rsidRDefault="009A582A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FD7659" w:rsidRDefault="00FC2417" w:rsidP="00122BF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1F617E83" w14:textId="77777777" w:rsidR="00B0170B" w:rsidRDefault="00B0170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3F17FE" w14:textId="77777777" w:rsidR="00B0170B" w:rsidRDefault="00B0170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52E310C9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Pr="00DE605D">
        <w:rPr>
          <w:rFonts w:ascii="Arial Narrow" w:hAnsi="Arial Narrow" w:cs="Arial"/>
          <w:sz w:val="22"/>
          <w:szCs w:val="22"/>
          <w:lang w:val="sk-SK"/>
        </w:rPr>
        <w:t>verejného obstarávania</w:t>
      </w:r>
      <w:r w:rsidRPr="00DE605D">
        <w:rPr>
          <w:rFonts w:ascii="Arial Narrow" w:hAnsi="Arial Narrow" w:cs="Arial"/>
          <w:sz w:val="22"/>
          <w:szCs w:val="22"/>
        </w:rPr>
        <w:t xml:space="preserve"> prijímateľovi</w:t>
      </w:r>
      <w:r w:rsidR="00B0170B">
        <w:rPr>
          <w:rFonts w:ascii="Arial Narrow" w:hAnsi="Arial Narrow" w:cs="Arial"/>
          <w:sz w:val="22"/>
          <w:szCs w:val="22"/>
          <w:lang w:val="sk-SK"/>
        </w:rPr>
        <w:t>,</w:t>
      </w:r>
      <w:r w:rsidRPr="00DE605D">
        <w:rPr>
          <w:rFonts w:ascii="Arial Narrow" w:hAnsi="Arial Narrow" w:cs="Arial"/>
          <w:sz w:val="22"/>
          <w:szCs w:val="22"/>
        </w:rPr>
        <w:t xml:space="preserve"> </w:t>
      </w:r>
      <w:r w:rsidR="00B0170B">
        <w:rPr>
          <w:rFonts w:ascii="Arial Narrow" w:hAnsi="Arial Narrow" w:cs="Arial"/>
          <w:sz w:val="22"/>
          <w:szCs w:val="22"/>
          <w:lang w:val="sk-SK"/>
        </w:rPr>
        <w:t>najskôr však</w:t>
      </w:r>
      <w:r w:rsidR="00B0170B" w:rsidRPr="00DE605D">
        <w:rPr>
          <w:rFonts w:ascii="Arial Narrow" w:hAnsi="Arial Narrow" w:cs="Arial"/>
          <w:sz w:val="22"/>
          <w:szCs w:val="22"/>
        </w:rPr>
        <w:t xml:space="preserve"> </w:t>
      </w:r>
      <w:r w:rsidRPr="00DE605D">
        <w:rPr>
          <w:rFonts w:ascii="Arial Narrow" w:hAnsi="Arial Narrow" w:cs="Arial"/>
          <w:sz w:val="22"/>
          <w:szCs w:val="22"/>
        </w:rPr>
        <w:t>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421BBB7C" w14:textId="77777777" w:rsidR="00111BE1" w:rsidRPr="00B21707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7E0D96B8" w14:textId="77777777" w:rsidR="00B21707" w:rsidRDefault="00B21707" w:rsidP="00B2170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bookmarkStart w:id="0" w:name="_GoBack"/>
      <w:bookmarkEnd w:id="0"/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4F3C4B35" w14:textId="08C396DF" w:rsidR="003F3F49" w:rsidRDefault="004C1B05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</w:t>
      </w:r>
      <w:r w:rsidR="00492D4E">
        <w:rPr>
          <w:rFonts w:ascii="Arial Narrow" w:hAnsi="Arial Narrow" w:cs="Arial Narrow"/>
          <w:sz w:val="22"/>
          <w:szCs w:val="22"/>
        </w:rPr>
        <w:t xml:space="preserve">  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3F3F49" w:rsidRPr="00137CF8">
        <w:rPr>
          <w:rFonts w:ascii="Arial Narrow" w:hAnsi="Arial Narrow"/>
          <w:sz w:val="22"/>
          <w:szCs w:val="22"/>
        </w:rPr>
        <w:t>plk. Ing. Oľga Grausová</w:t>
      </w:r>
      <w:r w:rsidR="003F3F49">
        <w:rPr>
          <w:rFonts w:ascii="Arial Narrow" w:hAnsi="Arial Narrow"/>
          <w:sz w:val="22"/>
          <w:szCs w:val="22"/>
        </w:rPr>
        <w:t xml:space="preserve">                                                   xxxxxxxxxxxxxxxxxx</w:t>
      </w:r>
    </w:p>
    <w:p w14:paraId="571E16D4" w14:textId="2687B228" w:rsidR="003F3F49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Pr="00137CF8">
        <w:rPr>
          <w:rFonts w:ascii="Arial Narrow" w:hAnsi="Arial Narrow"/>
          <w:sz w:val="22"/>
          <w:szCs w:val="22"/>
        </w:rPr>
        <w:t xml:space="preserve"> zástupkyňa generálneho riaditeľa a</w:t>
      </w:r>
      <w:r>
        <w:rPr>
          <w:rFonts w:ascii="Arial Narrow" w:hAnsi="Arial Narrow"/>
          <w:sz w:val="22"/>
          <w:szCs w:val="22"/>
        </w:rPr>
        <w:t> </w:t>
      </w:r>
      <w:r w:rsidRPr="00137CF8">
        <w:rPr>
          <w:rFonts w:ascii="Arial Narrow" w:hAnsi="Arial Narrow"/>
          <w:sz w:val="22"/>
          <w:szCs w:val="22"/>
        </w:rPr>
        <w:t>súčasne</w:t>
      </w:r>
      <w:r>
        <w:rPr>
          <w:rFonts w:ascii="Arial Narrow" w:hAnsi="Arial Narrow"/>
          <w:sz w:val="22"/>
          <w:szCs w:val="22"/>
        </w:rPr>
        <w:t xml:space="preserve">                                       xxxxxxxxxx</w:t>
      </w:r>
    </w:p>
    <w:p w14:paraId="385EB668" w14:textId="7E3B26CC" w:rsidR="003F3F49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 w:rsidRPr="00137CF8">
        <w:rPr>
          <w:rFonts w:ascii="Arial Narrow" w:hAnsi="Arial Narrow"/>
          <w:sz w:val="22"/>
          <w:szCs w:val="22"/>
        </w:rPr>
        <w:t xml:space="preserve">riaditeľka organizačného odboru  sekcie ekonomiky </w:t>
      </w:r>
      <w:r>
        <w:rPr>
          <w:rFonts w:ascii="Arial Narrow" w:hAnsi="Arial Narrow"/>
          <w:sz w:val="22"/>
          <w:szCs w:val="22"/>
        </w:rPr>
        <w:t xml:space="preserve">                      xxxxxxxxxxxxxxxxxxxxxx</w:t>
      </w:r>
    </w:p>
    <w:p w14:paraId="24888322" w14:textId="77777777" w:rsidR="003F3F49" w:rsidRPr="00137CF8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137CF8">
        <w:rPr>
          <w:rFonts w:ascii="Arial Narrow" w:hAnsi="Arial Narrow"/>
          <w:sz w:val="22"/>
          <w:szCs w:val="22"/>
        </w:rPr>
        <w:t>Ministerstva vnútra</w:t>
      </w:r>
      <w:r>
        <w:rPr>
          <w:rFonts w:ascii="Arial Narrow" w:hAnsi="Arial Narrow"/>
          <w:sz w:val="22"/>
          <w:szCs w:val="22"/>
        </w:rPr>
        <w:t xml:space="preserve"> </w:t>
      </w:r>
      <w:r w:rsidRPr="00137CF8">
        <w:rPr>
          <w:rFonts w:ascii="Arial Narrow" w:hAnsi="Arial Narrow"/>
          <w:sz w:val="22"/>
          <w:szCs w:val="22"/>
        </w:rPr>
        <w:t>Slovenskej republiky</w:t>
      </w:r>
    </w:p>
    <w:p w14:paraId="241B708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BB93905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BCD5B52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0351ED9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00ED3E4E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87BF727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6C54B37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9E35D3A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27C4CF1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5A08F57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BA7FBF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67AC44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EC9519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C4C716A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BA7BBA3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CD624A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E49A6C4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0A8F5D3C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8F88AD5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1F2E486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E35A5AC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7B218BC7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0FC3865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770C5221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EB7BB38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996174D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E08DB82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4D9F1B3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81A5A63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60A5331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52666B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7D3FC4EF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272FD16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063FCFF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76EDB1D4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7CC0123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80272E1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17E329A" w14:textId="56993969" w:rsidR="00027C2F" w:rsidRPr="00BE30F5" w:rsidRDefault="00027C2F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headerReference w:type="even" r:id="rId9"/>
      <w:headerReference w:type="first" r:id="rId10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E36890"/>
    <w:multiLevelType w:val="multilevel"/>
    <w:tmpl w:val="48C62B4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5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8"/>
  </w:num>
  <w:num w:numId="5">
    <w:abstractNumId w:val="30"/>
  </w:num>
  <w:num w:numId="6">
    <w:abstractNumId w:val="7"/>
  </w:num>
  <w:num w:numId="7">
    <w:abstractNumId w:val="16"/>
  </w:num>
  <w:num w:numId="8">
    <w:abstractNumId w:val="23"/>
  </w:num>
  <w:num w:numId="9">
    <w:abstractNumId w:val="26"/>
  </w:num>
  <w:num w:numId="10">
    <w:abstractNumId w:val="17"/>
  </w:num>
  <w:num w:numId="11">
    <w:abstractNumId w:val="13"/>
  </w:num>
  <w:num w:numId="12">
    <w:abstractNumId w:val="4"/>
  </w:num>
  <w:num w:numId="13">
    <w:abstractNumId w:val="10"/>
  </w:num>
  <w:num w:numId="14">
    <w:abstractNumId w:val="19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5"/>
  </w:num>
  <w:num w:numId="27">
    <w:abstractNumId w:val="27"/>
  </w:num>
  <w:num w:numId="28">
    <w:abstractNumId w:val="31"/>
  </w:num>
  <w:num w:numId="29">
    <w:abstractNumId w:val="21"/>
  </w:num>
  <w:num w:numId="30">
    <w:abstractNumId w:val="20"/>
  </w:num>
  <w:num w:numId="31">
    <w:abstractNumId w:val="18"/>
  </w:num>
  <w:num w:numId="32">
    <w:abstractNumId w:val="6"/>
  </w:num>
  <w:num w:numId="33">
    <w:abstractNumId w:val="3"/>
  </w:num>
  <w:num w:numId="34">
    <w:abstractNumId w:val="29"/>
  </w:num>
  <w:num w:numId="35">
    <w:abstractNumId w:val="11"/>
  </w:num>
  <w:num w:numId="3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5"/>
  </w:num>
  <w:num w:numId="39">
    <w:abstractNumId w:val="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5D6A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865A8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330F"/>
    <w:rsid w:val="00115A03"/>
    <w:rsid w:val="00121519"/>
    <w:rsid w:val="00122BFF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301F76"/>
    <w:rsid w:val="00314176"/>
    <w:rsid w:val="003142D2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3F49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92D4E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A582A"/>
    <w:rsid w:val="009B06A8"/>
    <w:rsid w:val="009D4223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170B"/>
    <w:rsid w:val="00B02EF6"/>
    <w:rsid w:val="00B104DE"/>
    <w:rsid w:val="00B14C7B"/>
    <w:rsid w:val="00B15193"/>
    <w:rsid w:val="00B203C2"/>
    <w:rsid w:val="00B21707"/>
    <w:rsid w:val="00B25E4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D6F63"/>
    <w:rsid w:val="00BE1AF4"/>
    <w:rsid w:val="00BE30F5"/>
    <w:rsid w:val="00BE4CC5"/>
    <w:rsid w:val="00BF0AE1"/>
    <w:rsid w:val="00C01F0B"/>
    <w:rsid w:val="00C030E7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DEF3D29-3E53-4208-8AB4-BD638932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33</cp:revision>
  <cp:lastPrinted>2023-02-22T09:04:00Z</cp:lastPrinted>
  <dcterms:created xsi:type="dcterms:W3CDTF">2019-07-04T10:43:00Z</dcterms:created>
  <dcterms:modified xsi:type="dcterms:W3CDTF">2023-02-27T11:32:00Z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