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3B0AA65C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Števček, </w:t>
      </w:r>
      <w:r w:rsidR="002C4A4C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5326A069" w14:textId="77777777" w:rsidR="00146951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</w:p>
    <w:p w14:paraId="6C760A17" w14:textId="289E1209" w:rsidR="00146951" w:rsidRPr="00A75660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76DFDEF" w14:textId="658EF263" w:rsidR="00146951" w:rsidRPr="00301518" w:rsidRDefault="00146951" w:rsidP="00146951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094B9A">
        <w:rPr>
          <w:rFonts w:ascii="Corbel" w:eastAsia="Calibri" w:hAnsi="Corbel"/>
          <w:sz w:val="22"/>
          <w:szCs w:val="22"/>
          <w:lang w:eastAsia="en-US"/>
        </w:rPr>
        <w:t>prof. PharmDr. Pavel Mučaji, PhD.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21B36AC1" w14:textId="28F0BC6B" w:rsidR="00146951" w:rsidRPr="00E172FB" w:rsidRDefault="00146951" w:rsidP="00146951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 w:rsidR="00FA7BE0">
        <w:rPr>
          <w:rFonts w:ascii="Corbel" w:hAnsi="Corbel" w:cs="Times New Roman"/>
          <w:i/>
          <w:iCs/>
        </w:rPr>
        <w:t>+421 2 501 17 204</w:t>
      </w:r>
    </w:p>
    <w:p w14:paraId="7B13390A" w14:textId="27379BB4" w:rsidR="00146951" w:rsidRPr="008840FA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="00FA7BE0">
        <w:rPr>
          <w:rFonts w:ascii="Corbel" w:hAnsi="Corbel"/>
          <w:i/>
          <w:iCs/>
          <w:sz w:val="22"/>
          <w:szCs w:val="22"/>
        </w:rPr>
        <w:t>mucaji</w:t>
      </w:r>
      <w:r w:rsidRPr="008840FA">
        <w:rPr>
          <w:rFonts w:ascii="Corbel" w:hAnsi="Corbel"/>
          <w:i/>
          <w:iCs/>
          <w:sz w:val="22"/>
          <w:szCs w:val="22"/>
        </w:rPr>
        <w:t>@</w:t>
      </w:r>
      <w:r w:rsidR="00FA7BE0">
        <w:rPr>
          <w:rFonts w:ascii="Corbel" w:hAnsi="Corbel"/>
          <w:i/>
          <w:iCs/>
          <w:sz w:val="22"/>
          <w:szCs w:val="22"/>
        </w:rPr>
        <w:t>fpharm.</w:t>
      </w:r>
      <w:r w:rsidRPr="008840FA">
        <w:rPr>
          <w:rFonts w:ascii="Corbel" w:hAnsi="Corbel"/>
          <w:i/>
          <w:iCs/>
          <w:sz w:val="22"/>
          <w:szCs w:val="22"/>
        </w:rPr>
        <w:t>uniba.sk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2411A89E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FA7BE0">
        <w:rPr>
          <w:rFonts w:ascii="Corbel" w:hAnsi="Corbel"/>
          <w:b/>
          <w:bCs/>
          <w:color w:val="000000" w:themeColor="text1"/>
          <w:sz w:val="22"/>
          <w:szCs w:val="22"/>
        </w:rPr>
        <w:t>Kancelársky nábytok 041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55E3096D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</w:t>
      </w:r>
      <w:r w:rsidR="00C85ABE">
        <w:rPr>
          <w:rFonts w:ascii="Corbel" w:hAnsi="Corbel"/>
          <w:sz w:val="22"/>
          <w:szCs w:val="22"/>
        </w:rPr>
        <w:t xml:space="preserve"> </w:t>
      </w:r>
      <w:r w:rsidR="00FA7BE0">
        <w:rPr>
          <w:rFonts w:ascii="Corbel" w:hAnsi="Corbel"/>
          <w:sz w:val="22"/>
          <w:szCs w:val="22"/>
        </w:rPr>
        <w:t xml:space="preserve">kancelárskeho </w:t>
      </w:r>
      <w:r w:rsidR="00C85ABE">
        <w:rPr>
          <w:rFonts w:ascii="Corbel" w:hAnsi="Corbel"/>
          <w:sz w:val="22"/>
          <w:szCs w:val="22"/>
        </w:rPr>
        <w:t>nábytku</w:t>
      </w:r>
      <w:r w:rsidR="00C072B3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>cie</w:t>
      </w:r>
      <w:r w:rsidR="006B25AF">
        <w:rPr>
          <w:rFonts w:ascii="Corbel" w:hAnsi="Corbel"/>
          <w:sz w:val="22"/>
          <w:szCs w:val="22"/>
        </w:rPr>
        <w:t xml:space="preserve"> </w:t>
      </w:r>
      <w:r w:rsidR="002252FF">
        <w:rPr>
          <w:rFonts w:ascii="Corbel" w:hAnsi="Corbel"/>
          <w:sz w:val="22"/>
          <w:szCs w:val="22"/>
        </w:rPr>
        <w:t xml:space="preserve">a požiadaviek </w:t>
      </w:r>
      <w:r w:rsidR="00F17107" w:rsidRPr="00A75660">
        <w:rPr>
          <w:rFonts w:ascii="Corbel" w:hAnsi="Corbel"/>
          <w:sz w:val="22"/>
          <w:szCs w:val="22"/>
        </w:rPr>
        <w:t xml:space="preserve"> uveden</w:t>
      </w:r>
      <w:r w:rsidR="002252FF">
        <w:rPr>
          <w:rFonts w:ascii="Corbel" w:hAnsi="Corbel"/>
          <w:sz w:val="22"/>
          <w:szCs w:val="22"/>
        </w:rPr>
        <w:t>ých</w:t>
      </w:r>
      <w:r w:rsidR="00F17107" w:rsidRPr="00A75660">
        <w:rPr>
          <w:rFonts w:ascii="Corbel" w:hAnsi="Corbel"/>
          <w:sz w:val="22"/>
          <w:szCs w:val="22"/>
        </w:rPr>
        <w:t xml:space="preserve"> v Prílohe č. </w:t>
      </w:r>
      <w:r w:rsidR="00BF0B57">
        <w:rPr>
          <w:rFonts w:ascii="Corbel" w:hAnsi="Corbel"/>
          <w:sz w:val="22"/>
          <w:szCs w:val="22"/>
        </w:rPr>
        <w:t>1</w:t>
      </w:r>
      <w:r w:rsidR="00C072B3">
        <w:rPr>
          <w:rFonts w:ascii="Corbel" w:hAnsi="Corbel"/>
          <w:sz w:val="22"/>
          <w:szCs w:val="22"/>
        </w:rPr>
        <w:t>)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687E05F3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D77BFA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1508DE">
        <w:rPr>
          <w:rFonts w:ascii="Corbel" w:hAnsi="Corbel"/>
          <w:sz w:val="22"/>
          <w:szCs w:val="22"/>
        </w:rPr>
        <w:t xml:space="preserve">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66D31E8" w14:textId="44B17E75" w:rsidR="00110A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</w:t>
      </w:r>
      <w:r w:rsidR="00110A3A">
        <w:rPr>
          <w:rFonts w:ascii="Corbel" w:hAnsi="Corbel"/>
          <w:sz w:val="22"/>
          <w:szCs w:val="22"/>
        </w:rPr>
        <w:t>je</w:t>
      </w:r>
      <w:r w:rsidR="00E50758">
        <w:rPr>
          <w:rFonts w:ascii="Corbel" w:hAnsi="Corbel"/>
          <w:sz w:val="22"/>
          <w:szCs w:val="22"/>
        </w:rPr>
        <w:t xml:space="preserve"> kancelária na 4 nadzemnom podlaží v </w:t>
      </w:r>
      <w:r w:rsidR="009C7AF4">
        <w:rPr>
          <w:rFonts w:ascii="Corbel" w:hAnsi="Corbel"/>
          <w:sz w:val="22"/>
          <w:szCs w:val="22"/>
        </w:rPr>
        <w:t>priestoroch</w:t>
      </w:r>
      <w:r w:rsidR="00110A3A">
        <w:rPr>
          <w:rFonts w:ascii="Corbel" w:hAnsi="Corbel"/>
          <w:sz w:val="22"/>
          <w:szCs w:val="22"/>
        </w:rPr>
        <w:t>:</w:t>
      </w:r>
    </w:p>
    <w:p w14:paraId="5B426269" w14:textId="77777777" w:rsidR="0035413A" w:rsidRDefault="0035413A" w:rsidP="0035413A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2B81D13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1C404B41" w14:textId="1855FF96" w:rsidR="00913A1B" w:rsidRPr="00913A1B" w:rsidRDefault="00EE1E00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Farmaceutická fakulta</w:t>
      </w:r>
    </w:p>
    <w:p w14:paraId="6993BF13" w14:textId="1B1A1499" w:rsidR="00913A1B" w:rsidRPr="00913A1B" w:rsidRDefault="007324F4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Katedra farmakognózie a botaniky</w:t>
      </w:r>
    </w:p>
    <w:p w14:paraId="64161A29" w14:textId="7D48E5F6" w:rsidR="00913A1B" w:rsidRPr="00913A1B" w:rsidRDefault="007324F4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Odbojárov 10</w:t>
      </w:r>
    </w:p>
    <w:p w14:paraId="3EF68411" w14:textId="05D29636" w:rsidR="00913A1B" w:rsidRPr="00913A1B" w:rsidRDefault="007324F4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832 32</w:t>
      </w:r>
      <w:r w:rsidR="00913A1B" w:rsidRPr="00913A1B">
        <w:rPr>
          <w:rFonts w:ascii="Corbel" w:hAnsi="Corbel"/>
        </w:rPr>
        <w:t xml:space="preserve">  Bratislava </w:t>
      </w:r>
    </w:p>
    <w:p w14:paraId="3A31DA85" w14:textId="1C1C51B5" w:rsidR="00F17107" w:rsidRPr="00A75660" w:rsidRDefault="0045333A" w:rsidP="00C56B06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3A432F1" w14:textId="086847B3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</w:t>
      </w:r>
      <w:r w:rsidR="0035413A">
        <w:rPr>
          <w:rFonts w:ascii="Corbel" w:hAnsi="Corbel"/>
          <w:sz w:val="22"/>
          <w:szCs w:val="22"/>
        </w:rPr>
        <w:t xml:space="preserve">celý </w:t>
      </w:r>
      <w:r w:rsidRPr="00A75660">
        <w:rPr>
          <w:rFonts w:ascii="Corbel" w:hAnsi="Corbel"/>
          <w:sz w:val="22"/>
          <w:szCs w:val="22"/>
        </w:rPr>
        <w:t xml:space="preserve">predmet zmluvy </w:t>
      </w:r>
      <w:r w:rsidR="0035413A">
        <w:rPr>
          <w:rFonts w:ascii="Corbel" w:hAnsi="Corbel"/>
          <w:sz w:val="22"/>
          <w:szCs w:val="22"/>
        </w:rPr>
        <w:t>špecifikovaný v prílohe č. 1</w:t>
      </w:r>
      <w:r w:rsidR="00C94CC5">
        <w:rPr>
          <w:rFonts w:ascii="Corbel" w:hAnsi="Corbel"/>
          <w:sz w:val="22"/>
          <w:szCs w:val="22"/>
        </w:rPr>
        <w:t xml:space="preserve"> 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8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5D078D54" w:rsid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05C5A7B6" w14:textId="77777777" w:rsidR="00064CFD" w:rsidRPr="00A75660" w:rsidRDefault="00064CFD" w:rsidP="00064CF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D660C65" w14:textId="77777777" w:rsidR="00C56B06" w:rsidRDefault="00C56B06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9855FF8" w14:textId="057750D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17FE933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7EA5BF5" w14:textId="77777777" w:rsidR="00982C57" w:rsidRPr="00833E63" w:rsidRDefault="00982C57" w:rsidP="00982C57">
      <w:pPr>
        <w:ind w:firstLine="284"/>
        <w:rPr>
          <w:rFonts w:ascii="Corbel" w:hAnsi="Corbel"/>
        </w:rPr>
      </w:pPr>
      <w:r w:rsidRPr="00833E63">
        <w:rPr>
          <w:rFonts w:ascii="Corbel" w:hAnsi="Corbel"/>
        </w:rPr>
        <w:t>Univerzita Komenského v Bratislave</w:t>
      </w:r>
    </w:p>
    <w:p w14:paraId="738BB8D1" w14:textId="77777777" w:rsidR="000148E0" w:rsidRPr="00F13F4C" w:rsidRDefault="000148E0" w:rsidP="000148E0">
      <w:pPr>
        <w:ind w:firstLine="284"/>
        <w:rPr>
          <w:rFonts w:ascii="Corbel" w:hAnsi="Corbel" w:cs="Arial"/>
        </w:rPr>
      </w:pPr>
      <w:r w:rsidRPr="00F13F4C">
        <w:rPr>
          <w:rFonts w:ascii="Corbel" w:hAnsi="Corbel" w:cs="Arial"/>
        </w:rPr>
        <w:t xml:space="preserve">Farmaceutická fakulta </w:t>
      </w:r>
    </w:p>
    <w:p w14:paraId="523E2F26" w14:textId="77777777" w:rsidR="000148E0" w:rsidRPr="00F13F4C" w:rsidRDefault="000148E0" w:rsidP="000148E0">
      <w:pPr>
        <w:ind w:firstLine="284"/>
        <w:rPr>
          <w:rFonts w:ascii="Corbel" w:hAnsi="Corbel" w:cs="Arial"/>
        </w:rPr>
      </w:pPr>
      <w:r w:rsidRPr="00F13F4C">
        <w:rPr>
          <w:rFonts w:ascii="Corbel" w:hAnsi="Corbel" w:cs="Arial"/>
        </w:rPr>
        <w:t xml:space="preserve">Odbojárov 10 </w:t>
      </w:r>
    </w:p>
    <w:p w14:paraId="73E69ABA" w14:textId="36A39D25" w:rsidR="00064CFD" w:rsidRPr="001E0320" w:rsidRDefault="000148E0" w:rsidP="000148E0">
      <w:pPr>
        <w:ind w:firstLine="284"/>
        <w:rPr>
          <w:rFonts w:ascii="Corbel" w:hAnsi="Corbel"/>
        </w:rPr>
      </w:pPr>
      <w:r w:rsidRPr="00F13F4C">
        <w:rPr>
          <w:rFonts w:ascii="Corbel" w:hAnsi="Corbel" w:cs="Arial"/>
        </w:rPr>
        <w:t xml:space="preserve">832 32 Bratislava </w:t>
      </w:r>
      <w:r>
        <w:rPr>
          <w:rFonts w:ascii="Corbel" w:hAnsi="Corbel" w:cs="Arial"/>
        </w:rPr>
        <w:t xml:space="preserve">, </w:t>
      </w:r>
      <w:r w:rsidRPr="00F13F4C">
        <w:rPr>
          <w:rFonts w:ascii="Corbel" w:hAnsi="Corbel" w:cs="Arial"/>
        </w:rPr>
        <w:t>IČO: 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6CEFDD70" w:rsidR="0096327F" w:rsidRPr="00FD1FCE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 xml:space="preserve">Príloha č. 1: </w:t>
      </w:r>
      <w:r w:rsidR="009D6C85" w:rsidRPr="00FD1FCE">
        <w:rPr>
          <w:rFonts w:ascii="Corbel" w:hAnsi="Corbel"/>
          <w:sz w:val="22"/>
          <w:szCs w:val="22"/>
        </w:rPr>
        <w:t>Opis predmetu zákazky</w:t>
      </w:r>
      <w:r w:rsidRPr="00FD1FCE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>Príloha č. 2: Cenová</w:t>
      </w:r>
      <w:r w:rsidRPr="00A75660">
        <w:rPr>
          <w:rFonts w:ascii="Corbel" w:hAnsi="Corbel"/>
          <w:sz w:val="22"/>
          <w:szCs w:val="22"/>
        </w:rPr>
        <w:t xml:space="preserve">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F2F8" w14:textId="77777777" w:rsidR="003410AF" w:rsidRDefault="003410AF" w:rsidP="00A37121">
      <w:r>
        <w:separator/>
      </w:r>
    </w:p>
  </w:endnote>
  <w:endnote w:type="continuationSeparator" w:id="0">
    <w:p w14:paraId="4F956B9B" w14:textId="77777777" w:rsidR="003410AF" w:rsidRDefault="003410A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FF46" w14:textId="77777777" w:rsidR="003410AF" w:rsidRDefault="003410AF" w:rsidP="00A37121">
      <w:r>
        <w:separator/>
      </w:r>
    </w:p>
  </w:footnote>
  <w:footnote w:type="continuationSeparator" w:id="0">
    <w:p w14:paraId="175D5D33" w14:textId="77777777" w:rsidR="003410AF" w:rsidRDefault="003410A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48E0"/>
    <w:rsid w:val="00015214"/>
    <w:rsid w:val="000234DB"/>
    <w:rsid w:val="000321F5"/>
    <w:rsid w:val="00044918"/>
    <w:rsid w:val="00044A16"/>
    <w:rsid w:val="0004678B"/>
    <w:rsid w:val="000478A2"/>
    <w:rsid w:val="00051044"/>
    <w:rsid w:val="00064CFD"/>
    <w:rsid w:val="00073985"/>
    <w:rsid w:val="0009138A"/>
    <w:rsid w:val="00094B9A"/>
    <w:rsid w:val="00097EB6"/>
    <w:rsid w:val="000C12E2"/>
    <w:rsid w:val="000C47DB"/>
    <w:rsid w:val="000D06E1"/>
    <w:rsid w:val="000D0FD7"/>
    <w:rsid w:val="0010277B"/>
    <w:rsid w:val="00103C86"/>
    <w:rsid w:val="00110A3A"/>
    <w:rsid w:val="00115680"/>
    <w:rsid w:val="001165C6"/>
    <w:rsid w:val="001207FD"/>
    <w:rsid w:val="00126498"/>
    <w:rsid w:val="0013689A"/>
    <w:rsid w:val="00146951"/>
    <w:rsid w:val="00146F49"/>
    <w:rsid w:val="001508DE"/>
    <w:rsid w:val="00163A9D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252FF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A4C"/>
    <w:rsid w:val="002C4EB7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10AF"/>
    <w:rsid w:val="0034512C"/>
    <w:rsid w:val="003474A8"/>
    <w:rsid w:val="00353985"/>
    <w:rsid w:val="0035413A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65702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C7B09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723"/>
    <w:rsid w:val="005B6F53"/>
    <w:rsid w:val="005C0957"/>
    <w:rsid w:val="005C3EA9"/>
    <w:rsid w:val="005C4453"/>
    <w:rsid w:val="005D4CAE"/>
    <w:rsid w:val="005D7B94"/>
    <w:rsid w:val="005F0545"/>
    <w:rsid w:val="005F2DC3"/>
    <w:rsid w:val="006310E3"/>
    <w:rsid w:val="00634BE9"/>
    <w:rsid w:val="00642A1A"/>
    <w:rsid w:val="00643F43"/>
    <w:rsid w:val="006623DA"/>
    <w:rsid w:val="0066441C"/>
    <w:rsid w:val="00690196"/>
    <w:rsid w:val="00693E36"/>
    <w:rsid w:val="0069424F"/>
    <w:rsid w:val="0069573B"/>
    <w:rsid w:val="006A2A87"/>
    <w:rsid w:val="006A3BEF"/>
    <w:rsid w:val="006A71E0"/>
    <w:rsid w:val="006B023F"/>
    <w:rsid w:val="006B25A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24F4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3A1B"/>
    <w:rsid w:val="00917F00"/>
    <w:rsid w:val="00959887"/>
    <w:rsid w:val="00960122"/>
    <w:rsid w:val="0096327F"/>
    <w:rsid w:val="00966A61"/>
    <w:rsid w:val="00966AB6"/>
    <w:rsid w:val="00973126"/>
    <w:rsid w:val="0098095B"/>
    <w:rsid w:val="00982C57"/>
    <w:rsid w:val="00991090"/>
    <w:rsid w:val="009A7AB5"/>
    <w:rsid w:val="009C0B86"/>
    <w:rsid w:val="009C1AC9"/>
    <w:rsid w:val="009C7AF4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95D4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72B3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5A84"/>
    <w:rsid w:val="00C46BC7"/>
    <w:rsid w:val="00C47905"/>
    <w:rsid w:val="00C56B06"/>
    <w:rsid w:val="00C70CF4"/>
    <w:rsid w:val="00C768EB"/>
    <w:rsid w:val="00C77E97"/>
    <w:rsid w:val="00C817B7"/>
    <w:rsid w:val="00C833E2"/>
    <w:rsid w:val="00C85ABE"/>
    <w:rsid w:val="00C85FCE"/>
    <w:rsid w:val="00C94CC5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95C2E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2022"/>
    <w:rsid w:val="00E33576"/>
    <w:rsid w:val="00E35171"/>
    <w:rsid w:val="00E50758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1E00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A7BE0"/>
    <w:rsid w:val="00FB641A"/>
    <w:rsid w:val="00FD1FCE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206</cp:revision>
  <cp:lastPrinted>2021-11-03T14:22:00Z</cp:lastPrinted>
  <dcterms:created xsi:type="dcterms:W3CDTF">2022-03-07T08:52:00Z</dcterms:created>
  <dcterms:modified xsi:type="dcterms:W3CDTF">2023-02-22T10:03:00Z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