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0AAB7129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bookmarkStart w:id="0" w:name="_Hlk132705100"/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  <w:r w:rsidR="009B3669">
        <w:rPr>
          <w:rFonts w:ascii="Verdana" w:hAnsi="Verdana" w:cstheme="minorHAnsi"/>
          <w:sz w:val="18"/>
          <w:szCs w:val="18"/>
        </w:rPr>
        <w:t>Kortikosteroidy na systémové použitie</w:t>
      </w:r>
      <w:bookmarkEnd w:id="1"/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6FD24CF0" w14:textId="2BB32FEE" w:rsidR="009A2E2B" w:rsidRDefault="004441B8" w:rsidP="009A2E2B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2" w:name="_Hlk92957569"/>
      <w:bookmarkStart w:id="3" w:name="_Hlk90363775"/>
      <w:r>
        <w:rPr>
          <w:sz w:val="22"/>
          <w:szCs w:val="22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="009A2E2B"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 w:rsidR="009B3669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Kortikosteroidy na systémové použitie</w:t>
      </w:r>
      <w:r w:rsidR="006C0B7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časť č. 1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="009A2E2B"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67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9.12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5048</w:t>
      </w:r>
      <w:r w:rsidR="009B3669">
        <w:rPr>
          <w:rFonts w:ascii="Verdana" w:hAnsi="Verdana" w:cstheme="minorHAnsi"/>
          <w:sz w:val="18"/>
          <w:szCs w:val="18"/>
          <w:lang w:val="sk-SK" w:eastAsia="ar-SA"/>
        </w:rPr>
        <w:t>4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6.12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43-</w:t>
      </w:r>
      <w:r w:rsidR="009B3669">
        <w:rPr>
          <w:rFonts w:ascii="Verdana" w:hAnsi="Verdana" w:cstheme="minorHAnsi"/>
          <w:sz w:val="18"/>
          <w:szCs w:val="18"/>
          <w:lang w:val="sk-SK" w:eastAsia="ar-SA"/>
        </w:rPr>
        <w:t>703379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BC789E9" w14:textId="1EA9FA25" w:rsidR="009A2E2B" w:rsidRPr="00403973" w:rsidRDefault="004441B8" w:rsidP="007243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  <w:bookmarkStart w:id="4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10241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210241" w:rsidRPr="00422724" w:rsidRDefault="00210241" w:rsidP="00210241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1EF899DD" w:rsidR="00210241" w:rsidRPr="00422724" w:rsidRDefault="00210241" w:rsidP="0021024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316EC4A3" w:rsidR="00210241" w:rsidRPr="00422724" w:rsidRDefault="00210241" w:rsidP="00210241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0370A072" w:rsidR="00210241" w:rsidRPr="00422724" w:rsidRDefault="009B3669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5508,8</w:t>
            </w:r>
            <w:r w:rsidR="006C0B7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000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5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7E50CF90" w:rsidR="00680483" w:rsidRDefault="009B3669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5508,8000</w:t>
            </w:r>
          </w:p>
        </w:tc>
      </w:tr>
      <w:bookmarkEnd w:id="5"/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63EF11E" w14:textId="1A304824" w:rsidR="00575FF5" w:rsidRPr="00403973" w:rsidRDefault="007243C2" w:rsidP="007243C2">
      <w:pPr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 xml:space="preserve">“)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,</w:t>
      </w:r>
      <w:r>
        <w:rPr>
          <w:rFonts w:ascii="TimesNewRomanPSMT" w:hAnsi="TimesNewRomanPSMT" w:cs="TimesNewRomanPSMT"/>
          <w:b/>
          <w:bCs/>
          <w:lang w:eastAsia="sk-SK"/>
        </w:rPr>
        <w:t xml:space="preserve"> ž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priebehu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postupu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uvedenej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sa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vyskytli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dôvody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hodné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osobitného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zreteľa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ktoré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nemožno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od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obstarávateľa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požadovať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aby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pokračoval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ktoré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alebo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by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mohlo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mať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zásaný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vplyv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výsledok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a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nebolo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predložených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viac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dve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ponuky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>.</w:t>
      </w:r>
    </w:p>
    <w:bookmarkEnd w:id="2"/>
    <w:bookmarkEnd w:id="3"/>
    <w:bookmarkEnd w:id="4"/>
    <w:p w14:paraId="2211F4E2" w14:textId="67B8BC0C" w:rsidR="006C0B7E" w:rsidRDefault="006C0B7E" w:rsidP="006C0B7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6F4C534" w14:textId="559725FA" w:rsidR="006C0B7E" w:rsidRPr="00403973" w:rsidRDefault="009B3669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Kortikosteroidy na systémové použitie časť č. </w:t>
      </w:r>
      <w:r w:rsidR="007243C2">
        <w:rPr>
          <w:rFonts w:ascii="Verdana" w:hAnsi="Verdana" w:cstheme="minorHAnsi"/>
          <w:b/>
          <w:bCs/>
          <w:sz w:val="18"/>
          <w:szCs w:val="18"/>
          <w:lang w:val="sk-SK" w:eastAsia="ar-SA"/>
        </w:rPr>
        <w:t>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267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19.12.2022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50484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16.12.202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243-703379, </w:t>
      </w:r>
    </w:p>
    <w:p w14:paraId="273E5401" w14:textId="77777777" w:rsidR="006C0B7E" w:rsidRDefault="006C0B7E" w:rsidP="006C0B7E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C0B7E" w:rsidRPr="00653FB5" w14:paraId="298574B3" w14:textId="77777777" w:rsidTr="00823B5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D29646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FEC76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45C0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BC9AA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C0B7E" w:rsidRPr="00422724" w14:paraId="055A8263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DAB8D0" w14:textId="77777777" w:rsidR="006C0B7E" w:rsidRPr="00422724" w:rsidRDefault="006C0B7E" w:rsidP="00823B5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0EFD6" w14:textId="77777777" w:rsidR="006C0B7E" w:rsidRPr="00422724" w:rsidRDefault="006C0B7E" w:rsidP="00823B5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2DAA5A" w14:textId="77777777" w:rsidR="006C0B7E" w:rsidRPr="00422724" w:rsidRDefault="006C0B7E" w:rsidP="00823B5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D0EB8" w14:textId="14F7D466" w:rsidR="006C0B7E" w:rsidRPr="00422724" w:rsidRDefault="009B3669" w:rsidP="00823B5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91110,8500</w:t>
            </w:r>
          </w:p>
        </w:tc>
      </w:tr>
      <w:tr w:rsidR="007243C2" w:rsidRPr="00422724" w14:paraId="11A91A01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60A3725" w14:textId="4D6EA32F" w:rsidR="007243C2" w:rsidRPr="00422724" w:rsidRDefault="007243C2" w:rsidP="007243C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F26CA6" w14:textId="6F4DB8DA" w:rsidR="007243C2" w:rsidRPr="00422724" w:rsidRDefault="007243C2" w:rsidP="007243C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F3EC67D" w14:textId="13B97949" w:rsidR="007243C2" w:rsidRPr="00422724" w:rsidRDefault="007243C2" w:rsidP="007243C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18D5D" w14:textId="1135B18B" w:rsidR="007243C2" w:rsidRDefault="007243C2" w:rsidP="007243C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91110,8600</w:t>
            </w:r>
          </w:p>
        </w:tc>
      </w:tr>
    </w:tbl>
    <w:p w14:paraId="7C48C5C3" w14:textId="77777777" w:rsidR="006C0B7E" w:rsidRDefault="006C0B7E" w:rsidP="006C0B7E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ED7B3B8" w14:textId="77777777" w:rsidR="006C0B7E" w:rsidRPr="00403973" w:rsidRDefault="006C0B7E" w:rsidP="006C0B7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4164049" w14:textId="77777777" w:rsidR="006C0B7E" w:rsidRPr="00403973" w:rsidRDefault="006C0B7E" w:rsidP="006C0B7E">
      <w:pPr>
        <w:rPr>
          <w:sz w:val="22"/>
          <w:szCs w:val="22"/>
        </w:rPr>
      </w:pPr>
    </w:p>
    <w:p w14:paraId="64ACEAF6" w14:textId="3B3F8C89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8BED348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2BBC4AEC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1930A6F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31044833" w14:textId="77777777" w:rsidR="006C0B7E" w:rsidRPr="000C6385" w:rsidRDefault="006C0B7E" w:rsidP="006C0B7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529A62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7F94A83" w14:textId="77777777" w:rsidR="006C0B7E" w:rsidRPr="00403973" w:rsidRDefault="006C0B7E" w:rsidP="006C0B7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1AC642D" w14:textId="77777777" w:rsidR="006C0B7E" w:rsidRPr="00403973" w:rsidRDefault="006C0B7E" w:rsidP="006C0B7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D8BCAFF" w14:textId="77777777" w:rsidR="006C0B7E" w:rsidRPr="00403973" w:rsidRDefault="006C0B7E" w:rsidP="006C0B7E">
      <w:pPr>
        <w:ind w:firstLine="708"/>
        <w:jc w:val="both"/>
        <w:rPr>
          <w:sz w:val="22"/>
          <w:szCs w:val="22"/>
        </w:rPr>
      </w:pPr>
    </w:p>
    <w:p w14:paraId="16F75867" w14:textId="77777777" w:rsidR="006C0B7E" w:rsidRPr="000C6385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A073100" w14:textId="77777777" w:rsidR="006C0B7E" w:rsidRPr="00403973" w:rsidRDefault="006C0B7E" w:rsidP="006C0B7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0EF8EB6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142C16C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</w:p>
    <w:p w14:paraId="690315E3" w14:textId="77777777" w:rsidR="006C0B7E" w:rsidRDefault="006C0B7E" w:rsidP="006C0B7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66B9482" w14:textId="77777777" w:rsidR="006C0B7E" w:rsidRPr="00403973" w:rsidRDefault="006C0B7E" w:rsidP="006C0B7E">
      <w:pPr>
        <w:pStyle w:val="Default"/>
        <w:jc w:val="both"/>
        <w:rPr>
          <w:sz w:val="22"/>
          <w:szCs w:val="22"/>
          <w:lang w:bidi="sk-SK"/>
        </w:rPr>
      </w:pPr>
    </w:p>
    <w:p w14:paraId="582D2068" w14:textId="77777777" w:rsidR="006C0B7E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641262C" w14:textId="2FF78A1B" w:rsidR="006C0B7E" w:rsidRDefault="006C0B7E" w:rsidP="006C0B7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9B3669">
        <w:rPr>
          <w:sz w:val="22"/>
          <w:szCs w:val="22"/>
        </w:rPr>
        <w:t>91110,8500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C625182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</w:p>
    <w:p w14:paraId="02DDB4CF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E6E0EBE" w14:textId="5066CB9D" w:rsidR="006C0B7E" w:rsidRDefault="006C0B7E" w:rsidP="006C0B7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2F384294" w14:textId="77777777" w:rsidR="006C0B7E" w:rsidRDefault="006C0B7E" w:rsidP="006C0B7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lastRenderedPageBreak/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1C5EF10C" w14:textId="77777777" w:rsidR="006C0B7E" w:rsidRPr="00403973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EF7242" w14:textId="2298CD5A" w:rsidR="00680483" w:rsidRDefault="009B3669" w:rsidP="006804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Kortikosteroidy na systémové použitie časť č. </w:t>
      </w:r>
      <w:r w:rsidR="007243C2">
        <w:rPr>
          <w:rFonts w:ascii="Verdana" w:hAnsi="Verdana" w:cstheme="minorHAnsi"/>
          <w:b/>
          <w:bCs/>
          <w:sz w:val="18"/>
          <w:szCs w:val="18"/>
          <w:lang w:val="sk-SK" w:eastAsia="ar-SA"/>
        </w:rPr>
        <w:t>3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267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19.12.2022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50484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16.12.202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243-703379, </w:t>
      </w:r>
      <w:r w:rsidRPr="009B3669">
        <w:rPr>
          <w:rFonts w:ascii="Verdana" w:hAnsi="Verdana" w:cstheme="minorHAnsi"/>
          <w:b/>
          <w:bCs/>
          <w:sz w:val="18"/>
          <w:szCs w:val="18"/>
          <w:lang w:val="sk-SK" w:eastAsia="ar-SA"/>
        </w:rPr>
        <w:t>žiadny uchádzač nepredložil ponuku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.</w:t>
      </w:r>
    </w:p>
    <w:p w14:paraId="56FF13F5" w14:textId="77777777" w:rsidR="00680483" w:rsidRPr="00403973" w:rsidRDefault="00680483" w:rsidP="006804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041FAE" w14:textId="4BA9FD0E" w:rsidR="009B3669" w:rsidRDefault="009B3669" w:rsidP="009B3669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Kortikosteroidy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na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systémové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použitie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časť č. 3,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923AB4B" w14:textId="77777777" w:rsidR="009A2E2B" w:rsidRDefault="009A2E2B" w:rsidP="009A2E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bookmarkEnd w:id="0"/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sectPr w:rsidR="00AC0928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AEC3" w14:textId="77777777" w:rsidR="00587D78" w:rsidRDefault="00587D78">
      <w:r>
        <w:separator/>
      </w:r>
    </w:p>
  </w:endnote>
  <w:endnote w:type="continuationSeparator" w:id="0">
    <w:p w14:paraId="76078416" w14:textId="77777777" w:rsidR="00587D78" w:rsidRDefault="005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7871" w14:textId="77777777" w:rsidR="00587D78" w:rsidRDefault="00587D78">
      <w:r>
        <w:separator/>
      </w:r>
    </w:p>
  </w:footnote>
  <w:footnote w:type="continuationSeparator" w:id="0">
    <w:p w14:paraId="2E22675D" w14:textId="77777777" w:rsidR="00587D78" w:rsidRDefault="0058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0A10"/>
    <w:rsid w:val="000C6385"/>
    <w:rsid w:val="0010152C"/>
    <w:rsid w:val="001161EE"/>
    <w:rsid w:val="0018412C"/>
    <w:rsid w:val="00197AA3"/>
    <w:rsid w:val="001B13E2"/>
    <w:rsid w:val="001E2AFF"/>
    <w:rsid w:val="00210241"/>
    <w:rsid w:val="00233917"/>
    <w:rsid w:val="002E0784"/>
    <w:rsid w:val="002F2A0D"/>
    <w:rsid w:val="00315CBD"/>
    <w:rsid w:val="00345CCB"/>
    <w:rsid w:val="003840E8"/>
    <w:rsid w:val="003A63E7"/>
    <w:rsid w:val="003B111B"/>
    <w:rsid w:val="00403973"/>
    <w:rsid w:val="00422724"/>
    <w:rsid w:val="004441B8"/>
    <w:rsid w:val="00496717"/>
    <w:rsid w:val="004C753C"/>
    <w:rsid w:val="004E0412"/>
    <w:rsid w:val="00563594"/>
    <w:rsid w:val="00575FF5"/>
    <w:rsid w:val="00587D78"/>
    <w:rsid w:val="005B3D70"/>
    <w:rsid w:val="005E6432"/>
    <w:rsid w:val="00602635"/>
    <w:rsid w:val="00627D02"/>
    <w:rsid w:val="00653FB5"/>
    <w:rsid w:val="00654033"/>
    <w:rsid w:val="00680483"/>
    <w:rsid w:val="00691340"/>
    <w:rsid w:val="006C0B7E"/>
    <w:rsid w:val="007124B6"/>
    <w:rsid w:val="007243C2"/>
    <w:rsid w:val="007C49B0"/>
    <w:rsid w:val="008165FC"/>
    <w:rsid w:val="00840880"/>
    <w:rsid w:val="00842199"/>
    <w:rsid w:val="00927AF6"/>
    <w:rsid w:val="00952752"/>
    <w:rsid w:val="00977E85"/>
    <w:rsid w:val="009843CF"/>
    <w:rsid w:val="009873B2"/>
    <w:rsid w:val="009A2E2B"/>
    <w:rsid w:val="009B3669"/>
    <w:rsid w:val="009C63CB"/>
    <w:rsid w:val="009E1166"/>
    <w:rsid w:val="009E525E"/>
    <w:rsid w:val="00A455A9"/>
    <w:rsid w:val="00AC0928"/>
    <w:rsid w:val="00B462E9"/>
    <w:rsid w:val="00B95372"/>
    <w:rsid w:val="00BA2BD3"/>
    <w:rsid w:val="00BC41DE"/>
    <w:rsid w:val="00BD2959"/>
    <w:rsid w:val="00BE2270"/>
    <w:rsid w:val="00C53471"/>
    <w:rsid w:val="00C94503"/>
    <w:rsid w:val="00CE35DE"/>
    <w:rsid w:val="00D7433F"/>
    <w:rsid w:val="00DA3C2E"/>
    <w:rsid w:val="00DD1207"/>
    <w:rsid w:val="00E41C25"/>
    <w:rsid w:val="00E846FE"/>
    <w:rsid w:val="00EE0E4F"/>
    <w:rsid w:val="00EE53BA"/>
    <w:rsid w:val="00F15509"/>
    <w:rsid w:val="00F217C4"/>
    <w:rsid w:val="00F21B2B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40</cp:revision>
  <cp:lastPrinted>2023-04-18T07:10:00Z</cp:lastPrinted>
  <dcterms:created xsi:type="dcterms:W3CDTF">2022-10-19T09:59:00Z</dcterms:created>
  <dcterms:modified xsi:type="dcterms:W3CDTF">2023-04-19T07:36:00Z</dcterms:modified>
</cp:coreProperties>
</file>