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4E07552F"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r w:rsidR="00F1793E">
        <w:rPr>
          <w:rFonts w:ascii="Cambria" w:hAnsi="Cambria" w:cs="Arial"/>
          <w:b/>
          <w:bCs/>
          <w:sz w:val="22"/>
          <w:szCs w:val="22"/>
        </w:rPr>
        <w:t xml:space="preserve"> ZG.270.5</w:t>
      </w:r>
      <w:r w:rsidR="000061DA">
        <w:rPr>
          <w:rFonts w:ascii="Cambria" w:hAnsi="Cambria" w:cs="Arial"/>
          <w:b/>
          <w:bCs/>
          <w:sz w:val="22"/>
          <w:szCs w:val="22"/>
        </w:rPr>
        <w:t>.2023</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51667E21" w14:textId="7CF637AB" w:rsidR="0013110C" w:rsidRDefault="004763BE"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ZG.271………….</w:t>
      </w:r>
    </w:p>
    <w:p w14:paraId="64019220"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4B930465" w14:textId="760C715C" w:rsidR="004763BE"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4763BE">
        <w:rPr>
          <w:rFonts w:ascii="Cambria" w:hAnsi="Cambria" w:cs="Arial"/>
          <w:sz w:val="22"/>
          <w:szCs w:val="22"/>
          <w:lang w:eastAsia="pl-PL"/>
        </w:rPr>
        <w:t>Kobiór („Zamawiający”)</w:t>
      </w:r>
    </w:p>
    <w:p w14:paraId="064C0641" w14:textId="1D2D8322" w:rsidR="0013110C" w:rsidRDefault="004763BE"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z siedzibą w 43-211 Piasek</w:t>
      </w:r>
      <w:r w:rsidR="0013110C">
        <w:rPr>
          <w:rFonts w:ascii="Cambria" w:hAnsi="Cambria" w:cs="Arial"/>
          <w:sz w:val="22"/>
          <w:szCs w:val="22"/>
          <w:lang w:eastAsia="pl-PL"/>
        </w:rPr>
        <w:t xml:space="preserve"> </w:t>
      </w:r>
    </w:p>
    <w:p w14:paraId="1450437E" w14:textId="157C666C" w:rsidR="0013110C" w:rsidRDefault="004763BE"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Katowicka 141, NIP 646 032 68 29</w:t>
      </w:r>
      <w:r w:rsidR="0013110C">
        <w:rPr>
          <w:rFonts w:ascii="Cambria" w:hAnsi="Cambria" w:cs="Arial"/>
          <w:sz w:val="22"/>
          <w:szCs w:val="22"/>
          <w:lang w:eastAsia="pl-PL"/>
        </w:rPr>
        <w:t xml:space="preserve">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14BCA38A"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7E0CF5E" w14:textId="2CE22239" w:rsidR="004763BE" w:rsidRPr="004763BE" w:rsidRDefault="0013110C" w:rsidP="008F07F8">
      <w:pPr>
        <w:numPr>
          <w:ilvl w:val="0"/>
          <w:numId w:val="5"/>
        </w:numPr>
        <w:pBdr>
          <w:bottom w:val="single" w:sz="8" w:space="3" w:color="000000"/>
        </w:pBdr>
        <w:suppressAutoHyphens w:val="0"/>
        <w:spacing w:before="120"/>
        <w:ind w:left="567" w:hanging="567"/>
        <w:jc w:val="both"/>
        <w:rPr>
          <w:rFonts w:ascii="Cambria" w:hAnsi="Cambria" w:cs="Arial"/>
          <w:sz w:val="22"/>
          <w:szCs w:val="22"/>
          <w:shd w:val="clear" w:color="auto" w:fill="FFFF00"/>
          <w:lang w:eastAsia="pl-PL"/>
        </w:rPr>
      </w:pPr>
      <w:r w:rsidRPr="004763BE">
        <w:rPr>
          <w:rFonts w:ascii="Cambria" w:hAnsi="Cambria" w:cs="Arial"/>
          <w:sz w:val="22"/>
          <w:szCs w:val="22"/>
          <w:lang w:eastAsia="pl-PL"/>
        </w:rPr>
        <w:t>Zamawiający zleca, a Wykonawca przyjmuje do wykonania usługi z zakresu gospodarki leśnej polegające na wykonaniu zamówie</w:t>
      </w:r>
      <w:r w:rsidR="004763BE" w:rsidRPr="004763BE">
        <w:rPr>
          <w:rFonts w:ascii="Cambria" w:hAnsi="Cambria" w:cs="Arial"/>
          <w:sz w:val="22"/>
          <w:szCs w:val="22"/>
          <w:lang w:eastAsia="pl-PL"/>
        </w:rPr>
        <w:t xml:space="preserve">nia pn. </w:t>
      </w:r>
      <w:r w:rsidRPr="004763BE">
        <w:rPr>
          <w:rFonts w:ascii="Cambria" w:hAnsi="Cambria" w:cs="Arial"/>
          <w:sz w:val="22"/>
          <w:szCs w:val="22"/>
          <w:lang w:eastAsia="pl-PL"/>
        </w:rPr>
        <w:t xml:space="preserve"> </w:t>
      </w:r>
      <w:r w:rsidR="004763BE" w:rsidRPr="004763BE">
        <w:rPr>
          <w:rFonts w:ascii="Cambria" w:hAnsi="Cambria" w:cs="Arial"/>
          <w:b/>
          <w:i/>
          <w:sz w:val="22"/>
          <w:szCs w:val="22"/>
        </w:rPr>
        <w:t xml:space="preserve">Wykonywanie usług z zakresu </w:t>
      </w:r>
      <w:r w:rsidR="004763BE" w:rsidRPr="004763BE">
        <w:rPr>
          <w:rFonts w:ascii="Cambria" w:hAnsi="Cambria" w:cs="Arial"/>
          <w:b/>
          <w:sz w:val="22"/>
          <w:szCs w:val="22"/>
        </w:rPr>
        <w:t>gospodarki leśnej na terenie Nadleśnictwa Kobiór w roku 2023</w:t>
      </w:r>
      <w:r w:rsidR="000061DA">
        <w:rPr>
          <w:rFonts w:ascii="Cambria" w:hAnsi="Cambria" w:cs="Arial"/>
          <w:b/>
          <w:sz w:val="22"/>
          <w:szCs w:val="22"/>
        </w:rPr>
        <w:t xml:space="preserve"> – I</w:t>
      </w:r>
      <w:r w:rsidR="00AE13F3">
        <w:rPr>
          <w:rFonts w:ascii="Cambria" w:hAnsi="Cambria" w:cs="Arial"/>
          <w:b/>
          <w:sz w:val="22"/>
          <w:szCs w:val="22"/>
        </w:rPr>
        <w:t>I</w:t>
      </w:r>
      <w:r w:rsidR="000061DA">
        <w:rPr>
          <w:rFonts w:ascii="Cambria" w:hAnsi="Cambria" w:cs="Arial"/>
          <w:b/>
          <w:sz w:val="22"/>
          <w:szCs w:val="22"/>
        </w:rPr>
        <w:t>I TURA</w:t>
      </w:r>
      <w:r w:rsidR="004763BE" w:rsidRPr="004763BE">
        <w:rPr>
          <w:rFonts w:ascii="Cambria" w:hAnsi="Cambria" w:cs="Arial"/>
          <w:sz w:val="22"/>
          <w:szCs w:val="22"/>
          <w:lang w:eastAsia="pl-PL"/>
        </w:rPr>
        <w:t xml:space="preserve"> </w:t>
      </w:r>
      <w:r w:rsidRPr="004763BE">
        <w:rPr>
          <w:rFonts w:ascii="Cambria" w:hAnsi="Cambria" w:cs="Arial"/>
          <w:sz w:val="22"/>
          <w:szCs w:val="22"/>
          <w:lang w:eastAsia="pl-PL"/>
        </w:rPr>
        <w:t>(„Przedmiot Umowy”).</w:t>
      </w:r>
    </w:p>
    <w:p w14:paraId="53DE8C6C" w14:textId="01605671" w:rsidR="00025A11" w:rsidRPr="004763BE" w:rsidRDefault="00025A11" w:rsidP="008F07F8">
      <w:pPr>
        <w:numPr>
          <w:ilvl w:val="0"/>
          <w:numId w:val="5"/>
        </w:numPr>
        <w:pBdr>
          <w:bottom w:val="single" w:sz="8" w:space="3" w:color="000000"/>
        </w:pBdr>
        <w:suppressAutoHyphens w:val="0"/>
        <w:spacing w:before="120"/>
        <w:ind w:left="567" w:hanging="567"/>
        <w:jc w:val="both"/>
        <w:rPr>
          <w:rFonts w:ascii="Cambria" w:hAnsi="Cambria" w:cs="Arial"/>
          <w:sz w:val="22"/>
          <w:szCs w:val="22"/>
          <w:shd w:val="clear" w:color="auto" w:fill="FFFF00"/>
          <w:lang w:eastAsia="pl-PL"/>
        </w:rPr>
      </w:pPr>
      <w:r w:rsidRPr="004763BE">
        <w:rPr>
          <w:rFonts w:ascii="Cambria" w:hAnsi="Cambria" w:cs="Arial"/>
          <w:sz w:val="22"/>
          <w:szCs w:val="22"/>
          <w:lang w:eastAsia="pl-PL"/>
        </w:rPr>
        <w:t>Zestawienie ilości prac wchodzących w zakres Przedmiotu Umowy, opis standardu</w:t>
      </w:r>
      <w:r w:rsidRPr="004763BE">
        <w:rPr>
          <w:rFonts w:ascii="Cambria" w:hAnsi="Cambria" w:cs="Arial"/>
          <w:bCs/>
          <w:sz w:val="22"/>
          <w:szCs w:val="22"/>
          <w:lang w:eastAsia="pl-PL"/>
        </w:rPr>
        <w:t xml:space="preserve"> technologii wykonawstwa prac leśnych oraz procedury odbioru</w:t>
      </w:r>
      <w:r w:rsidRPr="004763BE">
        <w:rPr>
          <w:rFonts w:ascii="Cambria" w:hAnsi="Cambria" w:cs="Arial"/>
          <w:sz w:val="22"/>
          <w:szCs w:val="22"/>
          <w:lang w:eastAsia="pl-PL"/>
        </w:rPr>
        <w:t xml:space="preserve"> zostały określone w specyfikacji</w:t>
      </w:r>
      <w:r w:rsidRPr="004763BE">
        <w:rPr>
          <w:rFonts w:ascii="Cambria" w:hAnsi="Cambria" w:cs="Arial"/>
          <w:sz w:val="22"/>
          <w:szCs w:val="22"/>
          <w:lang w:val="en-US" w:eastAsia="pl-PL"/>
        </w:rPr>
        <w:t xml:space="preserve">i </w:t>
      </w:r>
      <w:r w:rsidRPr="004763BE">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lastRenderedPageBreak/>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w:t>
      </w:r>
      <w:r>
        <w:rPr>
          <w:rFonts w:ascii="Cambria" w:hAnsi="Cambria" w:cs="Arial"/>
          <w:bCs/>
          <w:iCs/>
          <w:color w:val="000000"/>
          <w:sz w:val="22"/>
          <w:szCs w:val="22"/>
          <w:lang w:eastAsia="pl-PL"/>
        </w:rPr>
        <w:lastRenderedPageBreak/>
        <w:t xml:space="preserve">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D8F3AC3"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w:t>
      </w:r>
      <w:r w:rsidR="00F1793E">
        <w:rPr>
          <w:rFonts w:ascii="Cambria" w:hAnsi="Cambria" w:cs="Arial"/>
          <w:sz w:val="22"/>
          <w:szCs w:val="22"/>
          <w:lang w:eastAsia="pl-PL"/>
        </w:rPr>
        <w:t>ealizowany od dnia podpisania umowy do dnia 31.12.2023</w:t>
      </w:r>
      <w:bookmarkStart w:id="6" w:name="_GoBack"/>
      <w:bookmarkEnd w:id="6"/>
      <w:r>
        <w:rPr>
          <w:rFonts w:ascii="Cambria" w:hAnsi="Cambria" w:cs="Arial"/>
          <w:sz w:val="22"/>
          <w:szCs w:val="22"/>
          <w:lang w:eastAsia="pl-PL"/>
        </w:rPr>
        <w:t xml:space="preserve">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lastRenderedPageBreak/>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xml:space="preserve">. O planowanej zmianie osób lub dodatkowych osobach, przy pomocy których Wykonawca wykonuje Przedmiot Umowy, Wykonawca zobowiązany jest powiadomić </w:t>
      </w:r>
      <w:r>
        <w:rPr>
          <w:rFonts w:ascii="Cambria" w:hAnsi="Cambria" w:cs="Arial"/>
          <w:sz w:val="22"/>
          <w:szCs w:val="22"/>
          <w:shd w:val="clear" w:color="auto" w:fill="FFFFFF"/>
          <w:lang w:eastAsia="en-US"/>
        </w:rPr>
        <w:lastRenderedPageBreak/>
        <w:t>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stwierdzenia nieprawidłowości w wykonaniu prac Zamawiający może odmówić dokonania Odbioru prac wykonanych wadliwie. Odmowa dokonania Odbioru prac wraz ze wskazaniem przyczyn, jak również wskazanie ewentualnych </w:t>
      </w:r>
      <w:r>
        <w:rPr>
          <w:rFonts w:ascii="Cambria" w:hAnsi="Cambria" w:cs="Arial"/>
          <w:sz w:val="22"/>
          <w:szCs w:val="22"/>
          <w:lang w:eastAsia="pl-PL"/>
        </w:rPr>
        <w:lastRenderedPageBreak/>
        <w:t>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7" w:name="_Hlk16114577"/>
      <w:r>
        <w:rPr>
          <w:rFonts w:ascii="Cambria" w:hAnsi="Cambria" w:cs="Arial"/>
          <w:sz w:val="22"/>
          <w:szCs w:val="22"/>
          <w:lang w:eastAsia="pl-PL"/>
        </w:rPr>
        <w:t>W przypadku, gdy przedmiotem Zlecenia będą prace z zakresu</w:t>
      </w:r>
      <w:r>
        <w:t xml:space="preserve"> </w:t>
      </w:r>
      <w:bookmarkStart w:id="8" w:name="_Hlk15294375"/>
      <w:r>
        <w:rPr>
          <w:rFonts w:ascii="Cambria" w:hAnsi="Cambria" w:cs="Arial"/>
          <w:sz w:val="22"/>
          <w:szCs w:val="22"/>
          <w:lang w:eastAsia="pl-PL"/>
        </w:rPr>
        <w:t>pozyskania i zrywki drewna</w:t>
      </w:r>
      <w:bookmarkEnd w:id="8"/>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7"/>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9"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9"/>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10" w:name="_Hlk107733386"/>
      <w:bookmarkStart w:id="11"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10"/>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1"/>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2"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2"/>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3"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3"/>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4" w:name="_Toc68356757"/>
      <w:r>
        <w:rPr>
          <w:rFonts w:ascii="Cambria" w:hAnsi="Cambria" w:cs="Arial"/>
          <w:b/>
          <w:bCs/>
          <w:kern w:val="32"/>
          <w:sz w:val="22"/>
          <w:szCs w:val="22"/>
          <w:lang w:eastAsia="pl-PL"/>
        </w:rPr>
        <w:br/>
        <w:t>Kary umowne</w:t>
      </w:r>
      <w:bookmarkEnd w:id="14"/>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5" w:name="_Hlk107732964"/>
      <w:r>
        <w:rPr>
          <w:rFonts w:ascii="Cambria" w:hAnsi="Cambria" w:cs="Arial"/>
          <w:bCs/>
          <w:sz w:val="22"/>
          <w:szCs w:val="22"/>
          <w:lang w:eastAsia="pl-PL"/>
        </w:rPr>
        <w:t xml:space="preserve">w realizacji prac na danej pozycji objętej Zleceniem w stosunku do terminu określonego w Zleceniu </w:t>
      </w:r>
      <w:bookmarkEnd w:id="15"/>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6" w:name="_Hlk107732757"/>
      <w:r>
        <w:rPr>
          <w:rFonts w:ascii="Cambria" w:hAnsi="Cambria"/>
          <w:sz w:val="22"/>
          <w:szCs w:val="22"/>
          <w:lang w:eastAsia="pl-PL"/>
        </w:rP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6"/>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 xml:space="preserve">za każdy rozpoczęty </w:t>
      </w:r>
      <w:r>
        <w:rPr>
          <w:rFonts w:ascii="Cambria" w:hAnsi="Cambria" w:cs="Arial"/>
          <w:sz w:val="22"/>
          <w:szCs w:val="22"/>
          <w:lang w:eastAsia="pl-PL"/>
        </w:rPr>
        <w:lastRenderedPageBreak/>
        <w:t>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7"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lastRenderedPageBreak/>
        <w:br/>
      </w:r>
      <w:bookmarkStart w:id="18"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7"/>
    <w:bookmarkEnd w:id="18"/>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9" w:name="_Hlk81415788"/>
      <w:r>
        <w:rPr>
          <w:rFonts w:ascii="Cambria" w:hAnsi="Cambria" w:cs="Arial"/>
          <w:sz w:val="22"/>
          <w:szCs w:val="22"/>
          <w:lang w:eastAsia="pl-PL"/>
        </w:rPr>
        <w:t xml:space="preserve">każdy przypadek braku środków ochrony indywidualnej </w:t>
      </w:r>
      <w:bookmarkEnd w:id="19"/>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20"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20"/>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lastRenderedPageBreak/>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1" w:name="_Toc68356761"/>
      <w:r>
        <w:rPr>
          <w:rFonts w:ascii="Cambria" w:hAnsi="Cambria" w:cs="Arial"/>
          <w:b/>
          <w:sz w:val="22"/>
          <w:szCs w:val="22"/>
          <w:lang w:eastAsia="pl-PL"/>
        </w:rPr>
        <w:br/>
        <w:t>Ubezpieczenia</w:t>
      </w:r>
      <w:bookmarkEnd w:id="21"/>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w:t>
      </w:r>
      <w:r>
        <w:rPr>
          <w:rFonts w:ascii="Cambria" w:hAnsi="Cambria" w:cs="Arial"/>
          <w:sz w:val="22"/>
          <w:szCs w:val="22"/>
          <w:lang w:eastAsia="pl-PL"/>
        </w:rPr>
        <w:lastRenderedPageBreak/>
        <w:t xml:space="preserve">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t>
      </w:r>
      <w:r>
        <w:rPr>
          <w:rFonts w:ascii="Cambria" w:hAnsi="Cambria" w:cs="Arial"/>
          <w:color w:val="000000"/>
          <w:sz w:val="22"/>
          <w:szCs w:val="22"/>
          <w:lang w:eastAsia="pl-PL"/>
        </w:rPr>
        <w:lastRenderedPageBreak/>
        <w:t xml:space="preserve">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2" w:name="_Hlk43745153"/>
      <w:r>
        <w:rPr>
          <w:rFonts w:ascii="Cambria" w:hAnsi="Cambria" w:cs="Arial"/>
          <w:sz w:val="22"/>
          <w:szCs w:val="22"/>
          <w:lang w:eastAsia="pl-PL"/>
        </w:rPr>
        <w:t>Zmiana nie może pociągnąć za sobą zwiększenia wynagrodzenia należnego Wykonawcy</w:t>
      </w:r>
      <w:bookmarkEnd w:id="22"/>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lastRenderedPageBreak/>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3"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3"/>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4"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4"/>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5"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5"/>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r w:rsidRPr="000E1989">
        <w:rPr>
          <w:rFonts w:ascii="Cambria" w:eastAsia="Calibri" w:hAnsi="Cambria" w:cs="Calibri Light"/>
          <w:sz w:val="22"/>
          <w:szCs w:val="22"/>
          <w:lang w:eastAsia="en-US"/>
        </w:rPr>
        <w:t>Cn = Cp +(Cp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+(Cp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Cn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Cp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6"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26"/>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6E3A0" w14:textId="77777777" w:rsidR="00FF7AC9" w:rsidRDefault="00FF7AC9">
      <w:r>
        <w:separator/>
      </w:r>
    </w:p>
  </w:endnote>
  <w:endnote w:type="continuationSeparator" w:id="0">
    <w:p w14:paraId="5F2F7919" w14:textId="77777777" w:rsidR="00FF7AC9" w:rsidRDefault="00FF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1"/>
    <w:family w:val="auto"/>
    <w:pitch w:val="default"/>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09603D4A"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F1793E">
      <w:rPr>
        <w:rFonts w:ascii="Cambria" w:hAnsi="Cambria"/>
        <w:noProof/>
        <w:lang w:eastAsia="pl-PL"/>
      </w:rPr>
      <w:t>22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0E6A4" w14:textId="77777777" w:rsidR="00FF7AC9" w:rsidRDefault="00FF7AC9">
      <w:r>
        <w:separator/>
      </w:r>
    </w:p>
  </w:footnote>
  <w:footnote w:type="continuationSeparator" w:id="0">
    <w:p w14:paraId="65FDF0B6" w14:textId="77777777" w:rsidR="00FF7AC9" w:rsidRDefault="00FF7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4DC7F12"/>
    <w:multiLevelType w:val="multilevel"/>
    <w:tmpl w:val="44DC7F1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2"/>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6"/>
  </w:num>
  <w:num w:numId="6">
    <w:abstractNumId w:val="8"/>
  </w:num>
  <w:num w:numId="7">
    <w:abstractNumId w:val="19"/>
  </w:num>
  <w:num w:numId="8">
    <w:abstractNumId w:val="26"/>
  </w:num>
  <w:num w:numId="9">
    <w:abstractNumId w:val="2"/>
  </w:num>
  <w:num w:numId="10">
    <w:abstractNumId w:val="3"/>
  </w:num>
  <w:num w:numId="11">
    <w:abstractNumId w:val="24"/>
  </w:num>
  <w:num w:numId="12">
    <w:abstractNumId w:val="21"/>
  </w:num>
  <w:num w:numId="13">
    <w:abstractNumId w:val="6"/>
  </w:num>
  <w:num w:numId="14">
    <w:abstractNumId w:val="23"/>
  </w:num>
  <w:num w:numId="15">
    <w:abstractNumId w:val="33"/>
  </w:num>
  <w:num w:numId="16">
    <w:abstractNumId w:val="13"/>
  </w:num>
  <w:num w:numId="17">
    <w:abstractNumId w:val="12"/>
  </w:num>
  <w:num w:numId="18">
    <w:abstractNumId w:val="17"/>
  </w:num>
  <w:num w:numId="19">
    <w:abstractNumId w:val="30"/>
  </w:num>
  <w:num w:numId="20">
    <w:abstractNumId w:val="11"/>
  </w:num>
  <w:num w:numId="21">
    <w:abstractNumId w:val="18"/>
  </w:num>
  <w:num w:numId="22">
    <w:abstractNumId w:val="9"/>
  </w:num>
  <w:num w:numId="23">
    <w:abstractNumId w:val="20"/>
  </w:num>
  <w:num w:numId="24">
    <w:abstractNumId w:val="34"/>
  </w:num>
  <w:num w:numId="25">
    <w:abstractNumId w:val="4"/>
  </w:num>
  <w:num w:numId="26">
    <w:abstractNumId w:val="28"/>
  </w:num>
  <w:num w:numId="27">
    <w:abstractNumId w:val="31"/>
  </w:num>
  <w:num w:numId="28">
    <w:abstractNumId w:val="0"/>
  </w:num>
  <w:num w:numId="29">
    <w:abstractNumId w:val="10"/>
  </w:num>
  <w:num w:numId="30">
    <w:abstractNumId w:val="1"/>
  </w:num>
  <w:num w:numId="31">
    <w:abstractNumId w:val="32"/>
  </w:num>
  <w:num w:numId="32">
    <w:abstractNumId w:val="25"/>
  </w:num>
  <w:num w:numId="33">
    <w:abstractNumId w:val="5"/>
  </w:num>
  <w:num w:numId="34">
    <w:abstractNumId w:val="29"/>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1DA"/>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6C57"/>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63BE"/>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178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13F3"/>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67F"/>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1793E"/>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0FF7AC9"/>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ED763-E343-45C6-B95A-B3BB48DEC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9882</Words>
  <Characters>59293</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Jadwiga Długajczyk</cp:lastModifiedBy>
  <cp:revision>2</cp:revision>
  <cp:lastPrinted>2017-05-23T11:32:00Z</cp:lastPrinted>
  <dcterms:created xsi:type="dcterms:W3CDTF">2023-03-26T07:07:00Z</dcterms:created>
  <dcterms:modified xsi:type="dcterms:W3CDTF">2023-03-26T07:07:00Z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