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8B16C7A"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AD01F0" w:rsidRPr="00AD01F0">
        <w:rPr>
          <w:rFonts w:ascii="Candara" w:hAnsi="Candara" w:cstheme="minorHAnsi"/>
          <w:b/>
          <w:caps/>
          <w:noProof/>
        </w:rPr>
        <w:t>Čelný nakladač s príslušenstvom</w:t>
      </w:r>
      <w:r w:rsidRPr="00843CDB">
        <w:rPr>
          <w:rFonts w:ascii="Candara" w:hAnsi="Candara" w:cstheme="minorHAnsi"/>
          <w:b/>
          <w:caps/>
          <w:noProof/>
        </w:rPr>
        <w:t xml:space="preserve">“ časť </w:t>
      </w:r>
      <w:r w:rsidR="00AD01F0">
        <w:rPr>
          <w:rFonts w:ascii="Candara" w:hAnsi="Candara" w:cstheme="minorHAnsi"/>
          <w:b/>
          <w:caps/>
          <w:noProof/>
        </w:rPr>
        <w:t>2</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17FB5980"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AD01F0" w:rsidRPr="00AD01F0">
        <w:rPr>
          <w:rFonts w:ascii="Candara" w:hAnsi="Candara" w:cstheme="minorHAnsi"/>
          <w:noProof/>
        </w:rPr>
        <w:t>2</w:t>
      </w:r>
      <w:r w:rsidR="00B568C1" w:rsidRPr="00AD01F0">
        <w:rPr>
          <w:rFonts w:ascii="Candara" w:hAnsi="Candara" w:cstheme="minorHAnsi"/>
          <w:noProof/>
        </w:rPr>
        <w:t>:</w:t>
      </w:r>
      <w:r w:rsidR="00AD01F0" w:rsidRPr="00AD01F0">
        <w:rPr>
          <w:rFonts w:ascii="Candara" w:hAnsi="Candara" w:cstheme="minorHAnsi"/>
          <w:noProof/>
        </w:rPr>
        <w:t xml:space="preserve"> </w:t>
      </w:r>
      <w:r w:rsidR="00AD01F0" w:rsidRPr="00AD01F0">
        <w:rPr>
          <w:rFonts w:ascii="Candara" w:hAnsi="Candara" w:cstheme="minorHAnsi"/>
        </w:rPr>
        <w:t>Čelný nakladač s príslušenstvom</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proofErr w:type="gram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 xml:space="preserve">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w:t>
      </w:r>
      <w:r w:rsidRPr="009E4C59">
        <w:rPr>
          <w:rFonts w:ascii="Candara" w:hAnsi="Candara" w:cstheme="minorHAnsi"/>
          <w:noProof/>
        </w:rPr>
        <w:lastRenderedPageBreak/>
        <w:t>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40EE8B29"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3E4932">
        <w:rPr>
          <w:rFonts w:ascii="Candara" w:hAnsi="Candara" w:cstheme="minorHAnsi"/>
          <w:noProof/>
        </w:rPr>
        <w:t>Predávajúc</w:t>
      </w:r>
      <w:r w:rsidR="003E4932">
        <w:rPr>
          <w:rFonts w:ascii="Candara" w:hAnsi="Candara" w:cstheme="minorHAnsi"/>
          <w:noProof/>
        </w:rPr>
        <w:t>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535AD349" w14:textId="001C9A8D" w:rsidR="00E42BC6" w:rsidRPr="009E4C59" w:rsidRDefault="003E4932" w:rsidP="00E42BC6">
      <w:pPr>
        <w:pStyle w:val="Odsekzoznamu"/>
        <w:numPr>
          <w:ilvl w:val="1"/>
          <w:numId w:val="21"/>
        </w:numPr>
        <w:jc w:val="both"/>
        <w:rPr>
          <w:rFonts w:ascii="Candara" w:hAnsi="Candara" w:cstheme="minorHAnsi"/>
          <w:noProof/>
        </w:rPr>
      </w:pPr>
      <w:r>
        <w:rPr>
          <w:rFonts w:ascii="Candara" w:hAnsi="Candara" w:cstheme="minorHAnsi"/>
          <w:noProof/>
        </w:rPr>
        <w:t>Predávajúci</w:t>
      </w:r>
      <w:r w:rsidR="00E42BC6"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E42BC6">
        <w:rPr>
          <w:rFonts w:ascii="Candara" w:hAnsi="Candara" w:cstheme="minorHAnsi"/>
          <w:noProof/>
        </w:rPr>
        <w:t>3</w:t>
      </w:r>
      <w:r w:rsidR="00E42BC6" w:rsidRPr="009E4C59">
        <w:rPr>
          <w:rFonts w:ascii="Candara" w:hAnsi="Candara" w:cstheme="minorHAnsi"/>
          <w:noProof/>
        </w:rPr>
        <w:t xml:space="preserve"> tejto Zmluvy. Subdodávatelia uvedení </w:t>
      </w:r>
      <w:r w:rsidR="00E42BC6" w:rsidRPr="009E4C59">
        <w:rPr>
          <w:rFonts w:ascii="Candara" w:hAnsi="Candara" w:cstheme="minorHAnsi"/>
          <w:noProof/>
        </w:rPr>
        <w:lastRenderedPageBreak/>
        <w:t xml:space="preserve">v Zozname subdodávateľov musia spĺňať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č. 343/2015 Z. z. o verejnom obstarávaní a o zmene a doplnení niektorých (ďalej len Zákon o VO). Doklady preukazujúce splnenie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o VO subdodávateľmi </w:t>
      </w:r>
      <w:r>
        <w:rPr>
          <w:rFonts w:ascii="Candara" w:hAnsi="Candara" w:cstheme="minorHAnsi"/>
          <w:noProof/>
        </w:rPr>
        <w:t>Predávajúci</w:t>
      </w:r>
      <w:r w:rsidR="00E42BC6" w:rsidRPr="009E4C59">
        <w:rPr>
          <w:rFonts w:ascii="Candara" w:hAnsi="Candara" w:cstheme="minorHAnsi"/>
          <w:noProof/>
        </w:rPr>
        <w:t xml:space="preserve"> predloží ako prílohu Zoznamu subdodávateľov.</w:t>
      </w:r>
    </w:p>
    <w:p w14:paraId="5E688C08" w14:textId="7B648154" w:rsidR="00E42BC6" w:rsidRPr="009E4C59" w:rsidRDefault="003E4932" w:rsidP="00E42BC6">
      <w:pPr>
        <w:pStyle w:val="Odsekzoznamu"/>
        <w:numPr>
          <w:ilvl w:val="1"/>
          <w:numId w:val="21"/>
        </w:numPr>
        <w:jc w:val="both"/>
        <w:rPr>
          <w:rFonts w:ascii="Candara" w:hAnsi="Candara" w:cstheme="minorHAnsi"/>
          <w:noProof/>
        </w:rPr>
      </w:pPr>
      <w:r>
        <w:rPr>
          <w:rFonts w:ascii="Candara" w:hAnsi="Candara" w:cstheme="minorHAnsi"/>
          <w:noProof/>
        </w:rPr>
        <w:t>Predávajúci</w:t>
      </w:r>
      <w:r w:rsidR="00E42BC6"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Pr="009E4C59">
        <w:rPr>
          <w:rFonts w:ascii="Candara" w:hAnsi="Candara" w:cstheme="minorHAnsi"/>
          <w:noProof/>
        </w:rPr>
        <w:t xml:space="preserve"> </w:t>
      </w:r>
      <w:r w:rsidR="00E42BC6" w:rsidRPr="009E4C59">
        <w:rPr>
          <w:rFonts w:ascii="Candara" w:hAnsi="Candara" w:cstheme="minorHAnsi"/>
          <w:noProof/>
        </w:rPr>
        <w:t xml:space="preserve">zároveň predloží Objednávateľovi doklady preukazujúce splnenie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o VO za tohto nového subdodávateľa. V prípade, že subdodávateľ nebude spĺňať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64D20522" w14:textId="77777777" w:rsidR="00FF3333" w:rsidRPr="009E4C59" w:rsidRDefault="009E4C59" w:rsidP="00FF3333">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FF3333" w:rsidRPr="009E4C59">
        <w:rPr>
          <w:rFonts w:ascii="Candara" w:hAnsi="Candara" w:cstheme="minorHAnsi"/>
          <w:noProof/>
        </w:rPr>
        <w:t>„</w:t>
      </w:r>
      <w:r w:rsidR="00FF3333" w:rsidRPr="00CD18A9">
        <w:rPr>
          <w:rFonts w:ascii="Candara" w:hAnsi="Candara" w:cstheme="minorHAnsi"/>
          <w:noProof/>
        </w:rPr>
        <w:t>Zberný dvor Šútovce</w:t>
      </w:r>
      <w:r w:rsidR="00FF3333" w:rsidRPr="009E4C59">
        <w:rPr>
          <w:rFonts w:ascii="Candara" w:hAnsi="Candara" w:cstheme="minorHAnsi"/>
          <w:noProof/>
        </w:rPr>
        <w:t>”</w:t>
      </w:r>
      <w:r w:rsidR="00FF3333" w:rsidRPr="009E4C59">
        <w:rPr>
          <w:rFonts w:ascii="Candara" w:hAnsi="Candara" w:cstheme="minorHAnsi"/>
          <w:i/>
        </w:rPr>
        <w:t>.</w:t>
      </w:r>
    </w:p>
    <w:p w14:paraId="7CD2CC3D" w14:textId="681BE0B6"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AD01F0" w14:paraId="5889ECED" w14:textId="77777777" w:rsidTr="00AD01F0">
        <w:trPr>
          <w:trHeight w:val="320"/>
        </w:trPr>
        <w:tc>
          <w:tcPr>
            <w:tcW w:w="5620" w:type="dxa"/>
            <w:gridSpan w:val="2"/>
            <w:tcBorders>
              <w:top w:val="nil"/>
              <w:left w:val="nil"/>
              <w:bottom w:val="nil"/>
              <w:right w:val="nil"/>
            </w:tcBorders>
            <w:shd w:val="clear" w:color="auto" w:fill="auto"/>
            <w:noWrap/>
            <w:vAlign w:val="bottom"/>
            <w:hideMark/>
          </w:tcPr>
          <w:p w14:paraId="7CA98F03" w14:textId="77777777" w:rsidR="00AD01F0" w:rsidRDefault="00AD01F0">
            <w:pPr>
              <w:rPr>
                <w:rFonts w:ascii="Calibri" w:hAnsi="Calibri" w:cs="Calibri"/>
                <w:color w:val="000000"/>
              </w:rPr>
            </w:pPr>
            <w:r>
              <w:rPr>
                <w:rFonts w:ascii="Calibri" w:hAnsi="Calibri" w:cs="Calibri"/>
                <w:color w:val="000000"/>
              </w:rPr>
              <w:t xml:space="preserve">Časť 2: Čelný nakladač s príslušenstvom </w:t>
            </w:r>
          </w:p>
        </w:tc>
        <w:tc>
          <w:tcPr>
            <w:tcW w:w="1300" w:type="dxa"/>
            <w:tcBorders>
              <w:top w:val="nil"/>
              <w:left w:val="nil"/>
              <w:bottom w:val="nil"/>
              <w:right w:val="nil"/>
            </w:tcBorders>
            <w:shd w:val="clear" w:color="auto" w:fill="auto"/>
            <w:noWrap/>
            <w:vAlign w:val="bottom"/>
            <w:hideMark/>
          </w:tcPr>
          <w:p w14:paraId="0FE05942" w14:textId="77777777" w:rsidR="00AD01F0" w:rsidRDefault="00AD01F0">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CCCF37F" w14:textId="77777777" w:rsidR="00AD01F0" w:rsidRDefault="00AD01F0">
            <w:pPr>
              <w:rPr>
                <w:sz w:val="20"/>
                <w:szCs w:val="20"/>
              </w:rPr>
            </w:pPr>
          </w:p>
        </w:tc>
        <w:tc>
          <w:tcPr>
            <w:tcW w:w="1300" w:type="dxa"/>
            <w:tcBorders>
              <w:top w:val="nil"/>
              <w:left w:val="nil"/>
              <w:bottom w:val="nil"/>
              <w:right w:val="nil"/>
            </w:tcBorders>
            <w:shd w:val="clear" w:color="auto" w:fill="auto"/>
            <w:noWrap/>
            <w:vAlign w:val="bottom"/>
            <w:hideMark/>
          </w:tcPr>
          <w:p w14:paraId="4DA623A8" w14:textId="77777777" w:rsidR="00AD01F0" w:rsidRDefault="00AD01F0">
            <w:pPr>
              <w:rPr>
                <w:sz w:val="20"/>
                <w:szCs w:val="20"/>
              </w:rPr>
            </w:pPr>
          </w:p>
        </w:tc>
        <w:tc>
          <w:tcPr>
            <w:tcW w:w="1300" w:type="dxa"/>
            <w:tcBorders>
              <w:top w:val="nil"/>
              <w:left w:val="nil"/>
              <w:bottom w:val="nil"/>
              <w:right w:val="nil"/>
            </w:tcBorders>
            <w:shd w:val="clear" w:color="auto" w:fill="auto"/>
            <w:noWrap/>
            <w:vAlign w:val="bottom"/>
            <w:hideMark/>
          </w:tcPr>
          <w:p w14:paraId="79B2B9AC" w14:textId="77777777" w:rsidR="00AD01F0" w:rsidRDefault="00AD01F0">
            <w:pPr>
              <w:rPr>
                <w:sz w:val="20"/>
                <w:szCs w:val="20"/>
              </w:rPr>
            </w:pPr>
          </w:p>
        </w:tc>
      </w:tr>
      <w:tr w:rsidR="00AD01F0" w14:paraId="6263C1DF" w14:textId="77777777" w:rsidTr="00AD01F0">
        <w:trPr>
          <w:trHeight w:val="320"/>
        </w:trPr>
        <w:tc>
          <w:tcPr>
            <w:tcW w:w="73" w:type="dxa"/>
            <w:tcBorders>
              <w:top w:val="nil"/>
              <w:left w:val="nil"/>
              <w:bottom w:val="nil"/>
              <w:right w:val="nil"/>
            </w:tcBorders>
            <w:shd w:val="clear" w:color="auto" w:fill="auto"/>
            <w:noWrap/>
            <w:vAlign w:val="bottom"/>
            <w:hideMark/>
          </w:tcPr>
          <w:p w14:paraId="3E531A3D" w14:textId="77777777" w:rsidR="00AD01F0" w:rsidRDefault="00AD01F0">
            <w:pPr>
              <w:rPr>
                <w:sz w:val="20"/>
                <w:szCs w:val="20"/>
              </w:rPr>
            </w:pPr>
          </w:p>
        </w:tc>
        <w:tc>
          <w:tcPr>
            <w:tcW w:w="10747"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15225D58"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AD01F0" w14:paraId="4A1043D1" w14:textId="77777777" w:rsidTr="00AD01F0">
        <w:trPr>
          <w:trHeight w:val="320"/>
        </w:trPr>
        <w:tc>
          <w:tcPr>
            <w:tcW w:w="73" w:type="dxa"/>
            <w:tcBorders>
              <w:top w:val="nil"/>
              <w:left w:val="nil"/>
              <w:bottom w:val="nil"/>
              <w:right w:val="nil"/>
            </w:tcBorders>
            <w:shd w:val="clear" w:color="auto" w:fill="auto"/>
            <w:noWrap/>
            <w:vAlign w:val="bottom"/>
            <w:hideMark/>
          </w:tcPr>
          <w:p w14:paraId="28117E1A" w14:textId="77777777" w:rsidR="00AD01F0" w:rsidRDefault="00AD01F0">
            <w:pPr>
              <w:rPr>
                <w:rFonts w:ascii="Microsoft Sans Serif" w:hAnsi="Microsoft Sans Serif" w:cs="Microsoft Sans Serif"/>
                <w:b/>
                <w:bCs/>
                <w:sz w:val="18"/>
                <w:szCs w:val="18"/>
              </w:rPr>
            </w:pPr>
          </w:p>
        </w:tc>
        <w:tc>
          <w:tcPr>
            <w:tcW w:w="10747"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21F691D"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Čelný nakladač s príslušenstvom</w:t>
            </w:r>
          </w:p>
        </w:tc>
      </w:tr>
      <w:tr w:rsidR="00AD01F0" w14:paraId="0142AB5B" w14:textId="77777777" w:rsidTr="00AD01F0">
        <w:trPr>
          <w:trHeight w:val="320"/>
        </w:trPr>
        <w:tc>
          <w:tcPr>
            <w:tcW w:w="73" w:type="dxa"/>
            <w:tcBorders>
              <w:top w:val="nil"/>
              <w:left w:val="nil"/>
              <w:bottom w:val="nil"/>
              <w:right w:val="nil"/>
            </w:tcBorders>
            <w:shd w:val="clear" w:color="auto" w:fill="auto"/>
            <w:noWrap/>
            <w:vAlign w:val="bottom"/>
            <w:hideMark/>
          </w:tcPr>
          <w:p w14:paraId="6D06914C"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000000" w:fill="D2D2D2"/>
            <w:hideMark/>
          </w:tcPr>
          <w:p w14:paraId="300111C9"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34142B8E"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04D7B0C5"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61A5224C"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1721A84F"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AD01F0" w14:paraId="52F76A74" w14:textId="77777777" w:rsidTr="00AD01F0">
        <w:trPr>
          <w:trHeight w:val="320"/>
        </w:trPr>
        <w:tc>
          <w:tcPr>
            <w:tcW w:w="73" w:type="dxa"/>
            <w:tcBorders>
              <w:top w:val="nil"/>
              <w:left w:val="nil"/>
              <w:bottom w:val="nil"/>
              <w:right w:val="nil"/>
            </w:tcBorders>
            <w:shd w:val="clear" w:color="auto" w:fill="auto"/>
            <w:noWrap/>
            <w:vAlign w:val="bottom"/>
            <w:hideMark/>
          </w:tcPr>
          <w:p w14:paraId="75B46E90" w14:textId="77777777" w:rsidR="00AD01F0" w:rsidRDefault="00AD01F0">
            <w:pPr>
              <w:rPr>
                <w:rFonts w:ascii="Microsoft Sans Serif" w:hAnsi="Microsoft Sans Serif" w:cs="Microsoft Sans Serif"/>
                <w:b/>
                <w:bCs/>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2602867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počet</w:t>
            </w:r>
          </w:p>
        </w:tc>
        <w:tc>
          <w:tcPr>
            <w:tcW w:w="1300" w:type="dxa"/>
            <w:tcBorders>
              <w:top w:val="nil"/>
              <w:left w:val="nil"/>
              <w:bottom w:val="single" w:sz="4" w:space="0" w:color="000000"/>
              <w:right w:val="single" w:sz="4" w:space="0" w:color="000000"/>
            </w:tcBorders>
            <w:shd w:val="clear" w:color="auto" w:fill="auto"/>
            <w:hideMark/>
          </w:tcPr>
          <w:p w14:paraId="49ED8E3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3975F860"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7DC64247"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39E9A1F8"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AD01F0" w14:paraId="57C9B473" w14:textId="77777777" w:rsidTr="00AD01F0">
        <w:trPr>
          <w:trHeight w:val="320"/>
        </w:trPr>
        <w:tc>
          <w:tcPr>
            <w:tcW w:w="73" w:type="dxa"/>
            <w:tcBorders>
              <w:top w:val="nil"/>
              <w:left w:val="nil"/>
              <w:bottom w:val="nil"/>
              <w:right w:val="nil"/>
            </w:tcBorders>
            <w:shd w:val="clear" w:color="auto" w:fill="auto"/>
            <w:noWrap/>
            <w:vAlign w:val="bottom"/>
            <w:hideMark/>
          </w:tcPr>
          <w:p w14:paraId="78BBC94A"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57262453"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Výška zdvihu </w:t>
            </w:r>
          </w:p>
        </w:tc>
        <w:tc>
          <w:tcPr>
            <w:tcW w:w="1300" w:type="dxa"/>
            <w:tcBorders>
              <w:top w:val="nil"/>
              <w:left w:val="nil"/>
              <w:bottom w:val="single" w:sz="4" w:space="0" w:color="000000"/>
              <w:right w:val="single" w:sz="4" w:space="0" w:color="000000"/>
            </w:tcBorders>
            <w:shd w:val="clear" w:color="auto" w:fill="auto"/>
            <w:hideMark/>
          </w:tcPr>
          <w:p w14:paraId="6D4C7B83"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mm</w:t>
            </w:r>
          </w:p>
        </w:tc>
        <w:tc>
          <w:tcPr>
            <w:tcW w:w="1300" w:type="dxa"/>
            <w:tcBorders>
              <w:top w:val="nil"/>
              <w:left w:val="nil"/>
              <w:bottom w:val="single" w:sz="4" w:space="0" w:color="000000"/>
              <w:right w:val="single" w:sz="4" w:space="0" w:color="000000"/>
            </w:tcBorders>
            <w:shd w:val="clear" w:color="auto" w:fill="auto"/>
            <w:vAlign w:val="bottom"/>
            <w:hideMark/>
          </w:tcPr>
          <w:p w14:paraId="2A2B37FE"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3500</w:t>
            </w:r>
          </w:p>
        </w:tc>
        <w:tc>
          <w:tcPr>
            <w:tcW w:w="1300" w:type="dxa"/>
            <w:tcBorders>
              <w:top w:val="nil"/>
              <w:left w:val="nil"/>
              <w:bottom w:val="single" w:sz="4" w:space="0" w:color="000000"/>
              <w:right w:val="single" w:sz="4" w:space="0" w:color="000000"/>
            </w:tcBorders>
            <w:shd w:val="clear" w:color="auto" w:fill="auto"/>
            <w:noWrap/>
            <w:hideMark/>
          </w:tcPr>
          <w:p w14:paraId="570FD839"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15E6F174"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32DCE16F" w14:textId="77777777" w:rsidTr="00AD01F0">
        <w:trPr>
          <w:trHeight w:val="320"/>
        </w:trPr>
        <w:tc>
          <w:tcPr>
            <w:tcW w:w="73" w:type="dxa"/>
            <w:tcBorders>
              <w:top w:val="nil"/>
              <w:left w:val="nil"/>
              <w:bottom w:val="nil"/>
              <w:right w:val="nil"/>
            </w:tcBorders>
            <w:shd w:val="clear" w:color="auto" w:fill="auto"/>
            <w:noWrap/>
            <w:vAlign w:val="bottom"/>
            <w:hideMark/>
          </w:tcPr>
          <w:p w14:paraId="701C7A4A"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0F8C52E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Zdvíhacia nosnosť pri plnej výške zdvihu</w:t>
            </w:r>
          </w:p>
        </w:tc>
        <w:tc>
          <w:tcPr>
            <w:tcW w:w="1300" w:type="dxa"/>
            <w:tcBorders>
              <w:top w:val="nil"/>
              <w:left w:val="nil"/>
              <w:bottom w:val="single" w:sz="4" w:space="0" w:color="000000"/>
              <w:right w:val="single" w:sz="4" w:space="0" w:color="000000"/>
            </w:tcBorders>
            <w:shd w:val="clear" w:color="auto" w:fill="auto"/>
            <w:hideMark/>
          </w:tcPr>
          <w:p w14:paraId="15556906"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kg</w:t>
            </w:r>
          </w:p>
        </w:tc>
        <w:tc>
          <w:tcPr>
            <w:tcW w:w="1300" w:type="dxa"/>
            <w:tcBorders>
              <w:top w:val="nil"/>
              <w:left w:val="nil"/>
              <w:bottom w:val="single" w:sz="4" w:space="0" w:color="000000"/>
              <w:right w:val="single" w:sz="4" w:space="0" w:color="000000"/>
            </w:tcBorders>
            <w:shd w:val="clear" w:color="auto" w:fill="auto"/>
            <w:noWrap/>
            <w:hideMark/>
          </w:tcPr>
          <w:p w14:paraId="08AABD63"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1700</w:t>
            </w:r>
          </w:p>
        </w:tc>
        <w:tc>
          <w:tcPr>
            <w:tcW w:w="1300" w:type="dxa"/>
            <w:tcBorders>
              <w:top w:val="nil"/>
              <w:left w:val="nil"/>
              <w:bottom w:val="single" w:sz="4" w:space="0" w:color="000000"/>
              <w:right w:val="single" w:sz="4" w:space="0" w:color="000000"/>
            </w:tcBorders>
            <w:shd w:val="clear" w:color="auto" w:fill="auto"/>
            <w:vAlign w:val="bottom"/>
            <w:hideMark/>
          </w:tcPr>
          <w:p w14:paraId="193026E8"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67513EA3"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31237568" w14:textId="77777777" w:rsidTr="00AD01F0">
        <w:trPr>
          <w:trHeight w:val="320"/>
        </w:trPr>
        <w:tc>
          <w:tcPr>
            <w:tcW w:w="73" w:type="dxa"/>
            <w:tcBorders>
              <w:top w:val="nil"/>
              <w:left w:val="nil"/>
              <w:bottom w:val="nil"/>
              <w:right w:val="nil"/>
            </w:tcBorders>
            <w:shd w:val="clear" w:color="auto" w:fill="auto"/>
            <w:noWrap/>
            <w:vAlign w:val="bottom"/>
            <w:hideMark/>
          </w:tcPr>
          <w:p w14:paraId="5EC14094"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36D76521"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Zdvíhacia nosnosť na úrovni do 1m</w:t>
            </w:r>
          </w:p>
        </w:tc>
        <w:tc>
          <w:tcPr>
            <w:tcW w:w="1300" w:type="dxa"/>
            <w:tcBorders>
              <w:top w:val="nil"/>
              <w:left w:val="nil"/>
              <w:bottom w:val="single" w:sz="4" w:space="0" w:color="000000"/>
              <w:right w:val="single" w:sz="4" w:space="0" w:color="000000"/>
            </w:tcBorders>
            <w:shd w:val="clear" w:color="auto" w:fill="auto"/>
            <w:hideMark/>
          </w:tcPr>
          <w:p w14:paraId="004F6408"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kg</w:t>
            </w:r>
          </w:p>
        </w:tc>
        <w:tc>
          <w:tcPr>
            <w:tcW w:w="1300" w:type="dxa"/>
            <w:tcBorders>
              <w:top w:val="nil"/>
              <w:left w:val="nil"/>
              <w:bottom w:val="single" w:sz="4" w:space="0" w:color="000000"/>
              <w:right w:val="single" w:sz="4" w:space="0" w:color="000000"/>
            </w:tcBorders>
            <w:shd w:val="clear" w:color="auto" w:fill="auto"/>
            <w:noWrap/>
            <w:hideMark/>
          </w:tcPr>
          <w:p w14:paraId="00BD2D80"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2000</w:t>
            </w:r>
          </w:p>
        </w:tc>
        <w:tc>
          <w:tcPr>
            <w:tcW w:w="1300" w:type="dxa"/>
            <w:tcBorders>
              <w:top w:val="nil"/>
              <w:left w:val="nil"/>
              <w:bottom w:val="single" w:sz="4" w:space="0" w:color="000000"/>
              <w:right w:val="single" w:sz="4" w:space="0" w:color="000000"/>
            </w:tcBorders>
            <w:shd w:val="clear" w:color="auto" w:fill="auto"/>
            <w:hideMark/>
          </w:tcPr>
          <w:p w14:paraId="74872984"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0050A701"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16886039" w14:textId="77777777" w:rsidTr="00AD01F0">
        <w:trPr>
          <w:trHeight w:val="320"/>
        </w:trPr>
        <w:tc>
          <w:tcPr>
            <w:tcW w:w="73" w:type="dxa"/>
            <w:tcBorders>
              <w:top w:val="nil"/>
              <w:left w:val="nil"/>
              <w:bottom w:val="nil"/>
              <w:right w:val="nil"/>
            </w:tcBorders>
            <w:shd w:val="clear" w:color="auto" w:fill="auto"/>
            <w:noWrap/>
            <w:vAlign w:val="bottom"/>
            <w:hideMark/>
          </w:tcPr>
          <w:p w14:paraId="385BD86C"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000000" w:fill="D2D2D2"/>
            <w:hideMark/>
          </w:tcPr>
          <w:p w14:paraId="368A6D98"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single" w:sz="4" w:space="0" w:color="000000"/>
              <w:left w:val="nil"/>
              <w:bottom w:val="single" w:sz="4" w:space="0" w:color="000000"/>
              <w:right w:val="single" w:sz="4" w:space="0" w:color="000000"/>
            </w:tcBorders>
            <w:shd w:val="clear" w:color="000000" w:fill="D2D2D2"/>
            <w:hideMark/>
          </w:tcPr>
          <w:p w14:paraId="779B2932"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AD01F0" w14:paraId="3D513B25" w14:textId="77777777" w:rsidTr="00AD01F0">
        <w:trPr>
          <w:trHeight w:val="320"/>
        </w:trPr>
        <w:tc>
          <w:tcPr>
            <w:tcW w:w="73" w:type="dxa"/>
            <w:tcBorders>
              <w:top w:val="nil"/>
              <w:left w:val="nil"/>
              <w:bottom w:val="nil"/>
              <w:right w:val="nil"/>
            </w:tcBorders>
            <w:shd w:val="clear" w:color="auto" w:fill="auto"/>
            <w:noWrap/>
            <w:vAlign w:val="bottom"/>
            <w:hideMark/>
          </w:tcPr>
          <w:p w14:paraId="08E02455" w14:textId="77777777" w:rsidR="00AD01F0" w:rsidRDefault="00AD01F0">
            <w:pPr>
              <w:rPr>
                <w:rFonts w:ascii="Microsoft Sans Serif" w:hAnsi="Microsoft Sans Serif" w:cs="Microsoft Sans Serif"/>
                <w:b/>
                <w:bCs/>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19DE7825" w14:textId="77777777" w:rsidR="00AD01F0" w:rsidRDefault="00AD01F0">
            <w:pPr>
              <w:rPr>
                <w:rFonts w:ascii="Microsoft Sans Serif" w:hAnsi="Microsoft Sans Serif" w:cs="Microsoft Sans Serif"/>
                <w:sz w:val="18"/>
                <w:szCs w:val="18"/>
              </w:rPr>
            </w:pPr>
            <w:proofErr w:type="spellStart"/>
            <w:r>
              <w:rPr>
                <w:rFonts w:ascii="Microsoft Sans Serif" w:hAnsi="Microsoft Sans Serif" w:cs="Microsoft Sans Serif"/>
                <w:sz w:val="18"/>
                <w:szCs w:val="18"/>
              </w:rPr>
              <w:t>Opruženie</w:t>
            </w:r>
            <w:proofErr w:type="spellEnd"/>
            <w:r>
              <w:rPr>
                <w:rFonts w:ascii="Microsoft Sans Serif" w:hAnsi="Microsoft Sans Serif" w:cs="Microsoft Sans Serif"/>
                <w:sz w:val="18"/>
                <w:szCs w:val="18"/>
              </w:rPr>
              <w:t xml:space="preserve"> nakladača pri jazde</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06B3DDD0"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AD01F0" w14:paraId="67288BF4" w14:textId="77777777" w:rsidTr="00AD01F0">
        <w:trPr>
          <w:trHeight w:val="320"/>
        </w:trPr>
        <w:tc>
          <w:tcPr>
            <w:tcW w:w="73" w:type="dxa"/>
            <w:tcBorders>
              <w:top w:val="nil"/>
              <w:left w:val="nil"/>
              <w:bottom w:val="nil"/>
              <w:right w:val="nil"/>
            </w:tcBorders>
            <w:shd w:val="clear" w:color="auto" w:fill="auto"/>
            <w:noWrap/>
            <w:vAlign w:val="bottom"/>
            <w:hideMark/>
          </w:tcPr>
          <w:p w14:paraId="7056D853"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4EB5D8D8"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Ovládanie nakladača z kabíny traktora </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314CB781"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AD01F0" w14:paraId="5DE0493C" w14:textId="77777777" w:rsidTr="00AD01F0">
        <w:trPr>
          <w:trHeight w:val="780"/>
        </w:trPr>
        <w:tc>
          <w:tcPr>
            <w:tcW w:w="73" w:type="dxa"/>
            <w:tcBorders>
              <w:top w:val="nil"/>
              <w:left w:val="nil"/>
              <w:bottom w:val="nil"/>
              <w:right w:val="nil"/>
            </w:tcBorders>
            <w:shd w:val="clear" w:color="auto" w:fill="auto"/>
            <w:noWrap/>
            <w:vAlign w:val="bottom"/>
            <w:hideMark/>
          </w:tcPr>
          <w:p w14:paraId="198E0368"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7825789B"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Príslušenstvo: Lopata UNI s drapákom-šírka záberu min.2,0m , </w:t>
            </w:r>
            <w:proofErr w:type="spellStart"/>
            <w:r>
              <w:rPr>
                <w:rFonts w:ascii="Microsoft Sans Serif" w:hAnsi="Microsoft Sans Serif" w:cs="Microsoft Sans Serif"/>
                <w:sz w:val="18"/>
                <w:szCs w:val="18"/>
              </w:rPr>
              <w:t>Paletizačné</w:t>
            </w:r>
            <w:proofErr w:type="spellEnd"/>
            <w:r>
              <w:rPr>
                <w:rFonts w:ascii="Microsoft Sans Serif" w:hAnsi="Microsoft Sans Serif" w:cs="Microsoft Sans Serif"/>
                <w:sz w:val="18"/>
                <w:szCs w:val="18"/>
              </w:rPr>
              <w:t xml:space="preserve"> vidly - nosnosť min. 1500kg</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5090CB9E"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51B72204"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AD01F0" w:rsidRPr="00AD01F0">
        <w:rPr>
          <w:rFonts w:ascii="Candara" w:hAnsi="Candara" w:cstheme="minorHAnsi"/>
          <w:caps w:val="0"/>
          <w:color w:val="000000" w:themeColor="text1"/>
        </w:rPr>
        <w:t>Čelný nakladač s príslušenstvom</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AD01F0">
        <w:rPr>
          <w:rFonts w:ascii="Candara" w:hAnsi="Candara" w:cstheme="minorHAnsi"/>
          <w:caps w:val="0"/>
          <w:color w:val="000000" w:themeColor="text1"/>
        </w:rPr>
        <w:t>2</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23570866" w:rsidR="0042472B" w:rsidRPr="0042472B" w:rsidRDefault="00877ED6" w:rsidP="00BA0F29">
            <w:pPr>
              <w:jc w:val="center"/>
              <w:rPr>
                <w:rFonts w:ascii="Candara" w:hAnsi="Candara" w:cs="Arial"/>
                <w:b/>
                <w:sz w:val="22"/>
                <w:szCs w:val="22"/>
              </w:rPr>
            </w:pPr>
            <w:r>
              <w:rPr>
                <w:rFonts w:ascii="Candara" w:hAnsi="Candara" w:cs="Arial"/>
                <w:b/>
                <w:sz w:val="22"/>
                <w:szCs w:val="22"/>
              </w:rPr>
              <w:t>2</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DA67506" w:rsidR="0042472B" w:rsidRPr="0042472B" w:rsidRDefault="00AD01F0" w:rsidP="00AD01F0">
            <w:pPr>
              <w:rPr>
                <w:rFonts w:ascii="Candara" w:hAnsi="Candara" w:cs="Arial"/>
                <w:b/>
                <w:sz w:val="22"/>
                <w:szCs w:val="22"/>
              </w:rPr>
            </w:pPr>
            <w:r w:rsidRPr="00AD01F0">
              <w:rPr>
                <w:rFonts w:ascii="Candara" w:hAnsi="Candara" w:cs="Arial"/>
                <w:b/>
                <w:sz w:val="22"/>
                <w:szCs w:val="22"/>
              </w:rPr>
              <w:t>Čelný nakladač s príslušenstvom</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5D934FE5"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AD01F0" w:rsidRPr="00AD01F0">
        <w:rPr>
          <w:rFonts w:ascii="Candara" w:hAnsi="Candara" w:cstheme="minorHAnsi"/>
          <w:caps w:val="0"/>
          <w:color w:val="000000" w:themeColor="text1"/>
        </w:rPr>
        <w:t>Čelný nakladač s príslušenstvom</w:t>
      </w:r>
      <w:r w:rsidR="00084DBC" w:rsidRPr="00084DBC">
        <w:rPr>
          <w:rFonts w:ascii="Candara" w:hAnsi="Candara" w:cstheme="minorHAnsi"/>
          <w:caps w:val="0"/>
          <w:color w:val="000000" w:themeColor="text1"/>
        </w:rPr>
        <w:t xml:space="preserve">“ časť </w:t>
      </w:r>
      <w:r w:rsidR="00AD01F0">
        <w:rPr>
          <w:rFonts w:ascii="Candara" w:hAnsi="Candara" w:cstheme="minorHAnsi"/>
          <w:caps w:val="0"/>
          <w:color w:val="000000" w:themeColor="text1"/>
        </w:rPr>
        <w:t>2</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FA97" w14:textId="77777777" w:rsidR="00E6203E" w:rsidRDefault="00E6203E" w:rsidP="009E4C59">
      <w:r>
        <w:separator/>
      </w:r>
    </w:p>
  </w:endnote>
  <w:endnote w:type="continuationSeparator" w:id="0">
    <w:p w14:paraId="7080BA00" w14:textId="77777777" w:rsidR="00E6203E" w:rsidRDefault="00E6203E"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5C1F" w14:textId="77777777" w:rsidR="00E6203E" w:rsidRDefault="00E6203E" w:rsidP="009E4C59">
      <w:r>
        <w:separator/>
      </w:r>
    </w:p>
  </w:footnote>
  <w:footnote w:type="continuationSeparator" w:id="0">
    <w:p w14:paraId="315E5B8D" w14:textId="77777777" w:rsidR="00E6203E" w:rsidRDefault="00E6203E"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0145B"/>
    <w:rsid w:val="00084DBC"/>
    <w:rsid w:val="000935EE"/>
    <w:rsid w:val="00131F45"/>
    <w:rsid w:val="00150FA6"/>
    <w:rsid w:val="00200C76"/>
    <w:rsid w:val="00261C01"/>
    <w:rsid w:val="002A2F84"/>
    <w:rsid w:val="00300F05"/>
    <w:rsid w:val="00377F4A"/>
    <w:rsid w:val="003847B3"/>
    <w:rsid w:val="003D094C"/>
    <w:rsid w:val="003E4932"/>
    <w:rsid w:val="004153AC"/>
    <w:rsid w:val="0042472B"/>
    <w:rsid w:val="0045753F"/>
    <w:rsid w:val="00601F8D"/>
    <w:rsid w:val="00664063"/>
    <w:rsid w:val="00664596"/>
    <w:rsid w:val="00713012"/>
    <w:rsid w:val="00732235"/>
    <w:rsid w:val="00757287"/>
    <w:rsid w:val="00791896"/>
    <w:rsid w:val="007C665D"/>
    <w:rsid w:val="00843CDB"/>
    <w:rsid w:val="00877ED6"/>
    <w:rsid w:val="009A049E"/>
    <w:rsid w:val="009D502B"/>
    <w:rsid w:val="009E4C59"/>
    <w:rsid w:val="00AA5A4D"/>
    <w:rsid w:val="00AD01F0"/>
    <w:rsid w:val="00B568C1"/>
    <w:rsid w:val="00BF4B7E"/>
    <w:rsid w:val="00C00352"/>
    <w:rsid w:val="00C8287D"/>
    <w:rsid w:val="00E42BC6"/>
    <w:rsid w:val="00E533A8"/>
    <w:rsid w:val="00E6203E"/>
    <w:rsid w:val="00E92A8B"/>
    <w:rsid w:val="00ED357A"/>
    <w:rsid w:val="00FE64CF"/>
    <w:rsid w:val="00FF33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2996</Words>
  <Characters>17083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6</cp:revision>
  <cp:lastPrinted>2022-07-13T07:19:00Z</cp:lastPrinted>
  <dcterms:created xsi:type="dcterms:W3CDTF">2023-01-23T15:25:00Z</dcterms:created>
  <dcterms:modified xsi:type="dcterms:W3CDTF">2023-05-23T10:02:00Z</dcterms:modified>
</cp:coreProperties>
</file>