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7132E457"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080EC4">
        <w:rPr>
          <w:rFonts w:ascii="Candara" w:hAnsi="Candara" w:cstheme="minorHAnsi"/>
          <w:b/>
          <w:caps/>
          <w:noProof/>
        </w:rPr>
        <w:t>KONTAJNERY</w:t>
      </w:r>
      <w:r w:rsidRPr="00843CDB">
        <w:rPr>
          <w:rFonts w:ascii="Candara" w:hAnsi="Candara" w:cstheme="minorHAnsi"/>
          <w:b/>
          <w:caps/>
          <w:noProof/>
        </w:rPr>
        <w:t xml:space="preserve">“ časť </w:t>
      </w:r>
      <w:r w:rsidR="00080EC4">
        <w:rPr>
          <w:rFonts w:ascii="Candara" w:hAnsi="Candara" w:cstheme="minorHAnsi"/>
          <w:b/>
          <w:caps/>
          <w:noProof/>
        </w:rPr>
        <w:t>5</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00CCC261"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080EC4">
        <w:rPr>
          <w:rFonts w:ascii="Candara" w:hAnsi="Candara" w:cstheme="minorHAnsi"/>
          <w:noProof/>
        </w:rPr>
        <w:t>5</w:t>
      </w:r>
      <w:r w:rsidR="00B568C1" w:rsidRPr="00AD01F0">
        <w:rPr>
          <w:rFonts w:ascii="Candara" w:hAnsi="Candara" w:cstheme="minorHAnsi"/>
          <w:noProof/>
        </w:rPr>
        <w:t>:</w:t>
      </w:r>
      <w:r w:rsidR="00AD01F0" w:rsidRPr="00AD01F0">
        <w:rPr>
          <w:rFonts w:ascii="Candara" w:hAnsi="Candara" w:cstheme="minorHAnsi"/>
          <w:noProof/>
        </w:rPr>
        <w:t xml:space="preserve"> </w:t>
      </w:r>
      <w:r w:rsidR="00080EC4">
        <w:rPr>
          <w:rFonts w:ascii="Candara" w:hAnsi="Candara" w:cstheme="minorHAnsi"/>
        </w:rPr>
        <w:t>Kontajnery</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v elektronickej aukcii. Táto je kalkulovaná vrátane DPH. </w:t>
      </w:r>
      <w:r w:rsidRPr="00ED357A">
        <w:rPr>
          <w:rFonts w:ascii="Candara" w:eastAsiaTheme="minorHAnsi" w:hAnsi="Candara" w:cstheme="minorHAnsi"/>
          <w:color w:val="1A1A1A"/>
          <w:lang w:val="en-US"/>
        </w:rPr>
        <w:t>V </w:t>
      </w:r>
      <w:proofErr w:type="spellStart"/>
      <w:r w:rsidRPr="00ED357A">
        <w:rPr>
          <w:rFonts w:ascii="Candara" w:eastAsiaTheme="minorHAnsi" w:hAnsi="Candara" w:cstheme="minorHAnsi"/>
          <w:color w:val="1A1A1A"/>
          <w:lang w:val="en-US"/>
        </w:rPr>
        <w:t>cene</w:t>
      </w:r>
      <w:proofErr w:type="spellEnd"/>
      <w:r w:rsidRPr="00ED357A">
        <w:rPr>
          <w:rFonts w:ascii="Candara" w:eastAsiaTheme="minorHAnsi" w:hAnsi="Candara" w:cstheme="minorHAnsi"/>
          <w:color w:val="1A1A1A"/>
          <w:lang w:val="en-US"/>
        </w:rPr>
        <w:t xml:space="preserve"> je </w:t>
      </w:r>
      <w:proofErr w:type="spellStart"/>
      <w:r w:rsidRPr="00ED357A">
        <w:rPr>
          <w:rFonts w:ascii="Candara" w:eastAsiaTheme="minorHAnsi" w:hAnsi="Candara" w:cstheme="minorHAnsi"/>
          <w:color w:val="1A1A1A"/>
          <w:lang w:val="en-US"/>
        </w:rPr>
        <w:t>zahrnuté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sídle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kupujúceho</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ostatné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náklady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súvisiace</w:t>
      </w:r>
      <w:proofErr w:type="spellEnd"/>
      <w:r w:rsidRPr="00ED357A">
        <w:rPr>
          <w:rFonts w:ascii="Candara" w:eastAsiaTheme="minorHAnsi" w:hAnsi="Candara" w:cstheme="minorHAnsi"/>
          <w:color w:val="1A1A1A"/>
          <w:lang w:val="en-US"/>
        </w:rPr>
        <w:t xml:space="preserve"> s </w:t>
      </w:r>
      <w:proofErr w:type="spellStart"/>
      <w:proofErr w:type="gramStart"/>
      <w:r w:rsidRPr="00ED357A">
        <w:rPr>
          <w:rFonts w:ascii="Candara" w:eastAsiaTheme="minorHAnsi" w:hAnsi="Candara" w:cstheme="minorHAnsi"/>
          <w:color w:val="1A1A1A"/>
          <w:lang w:val="en-US"/>
        </w:rPr>
        <w:t>dodaním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predmetu</w:t>
      </w:r>
      <w:proofErr w:type="spellEnd"/>
      <w:proofErr w:type="gram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vrátane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prihlásenia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dopravnom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inšpektoráte</w:t>
      </w:r>
      <w:proofErr w:type="spellEnd"/>
      <w:r w:rsidRPr="00ED357A">
        <w:rPr>
          <w:rFonts w:ascii="Candara" w:eastAsiaTheme="minorHAnsi" w:hAnsi="Candara" w:cstheme="minorHAnsi"/>
          <w:color w:val="1A1A1A"/>
          <w:lang w:val="en-US"/>
        </w:rPr>
        <w:t xml:space="preserve"> s </w:t>
      </w:r>
      <w:proofErr w:type="spellStart"/>
      <w:r w:rsidRPr="00ED357A">
        <w:rPr>
          <w:rFonts w:ascii="Candara" w:eastAsiaTheme="minorHAnsi" w:hAnsi="Candara" w:cstheme="minorHAnsi"/>
          <w:color w:val="1A1A1A"/>
          <w:lang w:val="en-US"/>
        </w:rPr>
        <w:t>pridelením</w:t>
      </w:r>
      <w:proofErr w:type="spellEnd"/>
      <w:r w:rsidRPr="00ED357A">
        <w:rPr>
          <w:rFonts w:ascii="Candara" w:eastAsiaTheme="minorHAnsi" w:hAnsi="Candara" w:cstheme="minorHAnsi"/>
          <w:color w:val="1A1A1A"/>
          <w:lang w:val="en-US"/>
        </w:rPr>
        <w:t xml:space="preserve"> EČV a </w:t>
      </w:r>
      <w:proofErr w:type="spellStart"/>
      <w:r w:rsidRPr="00ED357A">
        <w:rPr>
          <w:rFonts w:ascii="Candara" w:eastAsiaTheme="minorHAnsi" w:hAnsi="Candara" w:cstheme="minorHAnsi"/>
          <w:color w:val="1A1A1A"/>
          <w:lang w:val="en-US"/>
        </w:rPr>
        <w:t>dodania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písomnej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patriacej</w:t>
      </w:r>
      <w:proofErr w:type="spellEnd"/>
      <w:r w:rsidRPr="00ED357A">
        <w:rPr>
          <w:rFonts w:ascii="Candara" w:eastAsiaTheme="minorHAnsi" w:hAnsi="Candara" w:cstheme="minorHAnsi"/>
          <w:color w:val="1A1A1A"/>
          <w:lang w:val="en-US"/>
        </w:rPr>
        <w:t xml:space="preserve"> k </w:t>
      </w:r>
      <w:proofErr w:type="spellStart"/>
      <w:r w:rsidRPr="00ED357A">
        <w:rPr>
          <w:rFonts w:ascii="Candara" w:eastAsiaTheme="minorHAnsi" w:hAnsi="Candara" w:cstheme="minorHAnsi"/>
          <w:color w:val="1A1A1A"/>
          <w:lang w:val="en-US"/>
        </w:rPr>
        <w:t>predmetu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kúpy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preberací</w:t>
      </w:r>
      <w:proofErr w:type="spellEnd"/>
      <w:r w:rsidRPr="00ED357A">
        <w:rPr>
          <w:rFonts w:ascii="Candara" w:eastAsiaTheme="minorHAnsi" w:hAnsi="Candara" w:cstheme="minorHAnsi"/>
          <w:color w:val="1A1A1A"/>
          <w:lang w:val="en-US"/>
        </w:rPr>
        <w:t xml:space="preserve"> - </w:t>
      </w:r>
      <w:proofErr w:type="spellStart"/>
      <w:r w:rsidRPr="00ED357A">
        <w:rPr>
          <w:rFonts w:ascii="Candara" w:eastAsiaTheme="minorHAnsi" w:hAnsi="Candara" w:cstheme="minorHAnsi"/>
          <w:color w:val="1A1A1A"/>
          <w:lang w:val="en-US"/>
        </w:rPr>
        <w:t>odovzdávajúci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protokol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o </w:t>
      </w:r>
      <w:proofErr w:type="spellStart"/>
      <w:r w:rsidRPr="00ED357A">
        <w:rPr>
          <w:rFonts w:ascii="Candara" w:eastAsiaTheme="minorHAnsi" w:hAnsi="Candara" w:cstheme="minorHAnsi"/>
          <w:color w:val="1A1A1A"/>
          <w:lang w:val="en-US"/>
        </w:rPr>
        <w:t>evidencii</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vozidla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technické</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osvedčenie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motatných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technických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jednotiek</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záznam</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zaškolenia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obsluhy</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servisná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knižka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návod</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obsluhu</w:t>
      </w:r>
      <w:proofErr w:type="spellEnd"/>
      <w:r w:rsidRPr="00ED357A">
        <w:rPr>
          <w:rFonts w:ascii="Candara" w:eastAsiaTheme="minorHAnsi" w:hAnsi="Candara" w:cstheme="minorHAnsi"/>
          <w:color w:val="1A1A1A"/>
          <w:lang w:val="en-US"/>
        </w:rPr>
        <w:t xml:space="preserve"> a </w:t>
      </w:r>
      <w:proofErr w:type="spellStart"/>
      <w:r w:rsidRPr="00ED357A">
        <w:rPr>
          <w:rFonts w:ascii="Candara" w:eastAsiaTheme="minorHAnsi" w:hAnsi="Candara" w:cstheme="minorHAnsi"/>
          <w:color w:val="1A1A1A"/>
          <w:lang w:val="en-US"/>
        </w:rPr>
        <w:t>údržbu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katalóg</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náhradných</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dielov</w:t>
      </w:r>
      <w:proofErr w:type="spellEnd"/>
      <w:r w:rsidRPr="00ED357A">
        <w:rPr>
          <w:rFonts w:ascii="Candara" w:eastAsiaTheme="minorHAnsi" w:hAnsi="Candara" w:cstheme="minorHAnsi"/>
          <w:color w:val="1A1A1A"/>
          <w:lang w:val="en-US"/>
        </w:rPr>
        <w:t>)</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Písomná</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dokumentácia</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bude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vyhotovená</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slovenskom</w:t>
      </w:r>
      <w:proofErr w:type="spellEnd"/>
      <w:r w:rsidRPr="00ED357A">
        <w:rPr>
          <w:rFonts w:ascii="Candara" w:eastAsiaTheme="minorHAnsi" w:hAnsi="Candara" w:cstheme="minorHAnsi"/>
          <w:color w:val="1A1A1A"/>
          <w:lang w:val="en-US"/>
        </w:rPr>
        <w:t xml:space="preserve">. Na </w:t>
      </w:r>
      <w:proofErr w:type="spellStart"/>
      <w:r w:rsidRPr="00ED357A">
        <w:rPr>
          <w:rFonts w:ascii="Candara" w:eastAsiaTheme="minorHAnsi" w:hAnsi="Candara" w:cstheme="minorHAnsi"/>
          <w:color w:val="1A1A1A"/>
          <w:lang w:val="en-US"/>
        </w:rPr>
        <w:t>tento</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účel</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sa</w:t>
      </w:r>
      <w:proofErr w:type="spellEnd"/>
      <w:r w:rsidRPr="00ED357A">
        <w:rPr>
          <w:rFonts w:ascii="Candara" w:eastAsiaTheme="minorHAnsi" w:hAnsi="Candara" w:cstheme="minorHAnsi"/>
          <w:color w:val="1A1A1A"/>
          <w:lang w:val="en-US"/>
        </w:rPr>
        <w:t xml:space="preserve"> za </w:t>
      </w:r>
      <w:proofErr w:type="spellStart"/>
      <w:r w:rsidRPr="00ED357A">
        <w:rPr>
          <w:rFonts w:ascii="Candara" w:eastAsiaTheme="minorHAnsi" w:hAnsi="Candara" w:cstheme="minorHAnsi"/>
          <w:color w:val="1A1A1A"/>
          <w:lang w:val="en-US"/>
        </w:rPr>
        <w:t>dostatočný</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považuje</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aj</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dokument</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vyhotovený</w:t>
      </w:r>
      <w:proofErr w:type="spellEnd"/>
      <w:r w:rsidRPr="00ED357A">
        <w:rPr>
          <w:rFonts w:ascii="Candara" w:eastAsiaTheme="minorHAnsi" w:hAnsi="Candara" w:cstheme="minorHAnsi"/>
          <w:color w:val="1A1A1A"/>
          <w:lang w:val="en-US"/>
        </w:rPr>
        <w:t xml:space="preserve"> v </w:t>
      </w:r>
      <w:proofErr w:type="spellStart"/>
      <w:r w:rsidRPr="00ED357A">
        <w:rPr>
          <w:rFonts w:ascii="Candara" w:eastAsiaTheme="minorHAnsi" w:hAnsi="Candara" w:cstheme="minorHAnsi"/>
          <w:color w:val="1A1A1A"/>
          <w:lang w:val="en-US"/>
        </w:rPr>
        <w:t>jazyku</w:t>
      </w:r>
      <w:proofErr w:type="spellEnd"/>
      <w:r w:rsidRPr="00ED357A">
        <w:rPr>
          <w:rFonts w:ascii="Candara" w:eastAsiaTheme="minorHAnsi" w:hAnsi="Candara" w:cstheme="minorHAnsi"/>
          <w:color w:val="1A1A1A"/>
          <w:lang w:val="en-US"/>
        </w:rPr>
        <w:t xml:space="preserve"> </w:t>
      </w:r>
      <w:proofErr w:type="spellStart"/>
      <w:r w:rsidRPr="00ED357A">
        <w:rPr>
          <w:rFonts w:ascii="Candara" w:eastAsiaTheme="minorHAnsi" w:hAnsi="Candara" w:cstheme="minorHAnsi"/>
          <w:color w:val="1A1A1A"/>
          <w:lang w:val="en-US"/>
        </w:rPr>
        <w:t>českom</w:t>
      </w:r>
      <w:proofErr w:type="spellEnd"/>
      <w:r w:rsidRPr="00ED357A">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 xml:space="preserve">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w:t>
      </w:r>
      <w:r w:rsidRPr="009E4C59">
        <w:rPr>
          <w:rFonts w:ascii="Candara" w:hAnsi="Candara" w:cstheme="minorHAnsi"/>
          <w:noProof/>
        </w:rPr>
        <w:lastRenderedPageBreak/>
        <w:t>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50E872F9" w14:textId="0800ADCB" w:rsidR="009E580A" w:rsidRPr="009E4C59" w:rsidRDefault="00602FE0" w:rsidP="009E580A">
      <w:pPr>
        <w:pStyle w:val="Odsekzoznamu"/>
        <w:numPr>
          <w:ilvl w:val="1"/>
          <w:numId w:val="21"/>
        </w:numPr>
        <w:jc w:val="both"/>
        <w:rPr>
          <w:rFonts w:ascii="Candara" w:hAnsi="Candara" w:cstheme="minorHAnsi"/>
          <w:noProof/>
        </w:rPr>
      </w:pPr>
      <w:r>
        <w:rPr>
          <w:rFonts w:ascii="Candara" w:hAnsi="Candara" w:cstheme="minorHAnsi"/>
          <w:noProof/>
        </w:rPr>
        <w:t>Predávajúci</w:t>
      </w:r>
      <w:r w:rsidR="009E580A" w:rsidRPr="009E4C59">
        <w:rPr>
          <w:rFonts w:ascii="Candara" w:hAnsi="Candara" w:cstheme="minorHAnsi"/>
          <w:noProof/>
        </w:rPr>
        <w:t xml:space="preserve">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9E580A">
        <w:rPr>
          <w:rFonts w:ascii="Candara" w:hAnsi="Candara" w:cstheme="minorHAnsi"/>
          <w:noProof/>
        </w:rPr>
        <w:t>3</w:t>
      </w:r>
      <w:r w:rsidR="009E580A" w:rsidRPr="009E4C59">
        <w:rPr>
          <w:rFonts w:ascii="Candara" w:hAnsi="Candara" w:cstheme="minorHAnsi"/>
          <w:noProof/>
        </w:rPr>
        <w:t xml:space="preserve"> tejto Zmluvy. Subdodávatelia uvedení </w:t>
      </w:r>
      <w:r w:rsidR="009E580A" w:rsidRPr="009E4C59">
        <w:rPr>
          <w:rFonts w:ascii="Candara" w:hAnsi="Candara" w:cstheme="minorHAnsi"/>
          <w:noProof/>
        </w:rPr>
        <w:lastRenderedPageBreak/>
        <w:t xml:space="preserve">v Zozname subdodávateľov musia spĺňať podmienky podľa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zákona č. 343/2015 Z. z. o verejnom obstarávaní a o zmene a doplnení niektorých (ďalej len Zákon o VO). Doklady preukazujúce splnenie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Zákona o VO subdodávateľmi </w:t>
      </w:r>
      <w:r>
        <w:rPr>
          <w:rFonts w:ascii="Candara" w:hAnsi="Candara" w:cstheme="minorHAnsi"/>
          <w:noProof/>
        </w:rPr>
        <w:t>Predávajúci</w:t>
      </w:r>
      <w:r w:rsidRPr="009E4C59">
        <w:rPr>
          <w:rFonts w:ascii="Candara" w:hAnsi="Candara" w:cstheme="minorHAnsi"/>
          <w:noProof/>
        </w:rPr>
        <w:t xml:space="preserve"> </w:t>
      </w:r>
      <w:r w:rsidR="009E580A" w:rsidRPr="009E4C59">
        <w:rPr>
          <w:rFonts w:ascii="Candara" w:hAnsi="Candara" w:cstheme="minorHAnsi"/>
          <w:noProof/>
        </w:rPr>
        <w:t>predloží ako prílohu Zoznamu subdodávateľov.</w:t>
      </w:r>
    </w:p>
    <w:p w14:paraId="008FA78F" w14:textId="534D1D70" w:rsidR="009E580A" w:rsidRPr="009E4C59" w:rsidRDefault="00602FE0" w:rsidP="009E580A">
      <w:pPr>
        <w:pStyle w:val="Odsekzoznamu"/>
        <w:numPr>
          <w:ilvl w:val="1"/>
          <w:numId w:val="21"/>
        </w:numPr>
        <w:jc w:val="both"/>
        <w:rPr>
          <w:rFonts w:ascii="Candara" w:hAnsi="Candara" w:cstheme="minorHAnsi"/>
          <w:noProof/>
        </w:rPr>
      </w:pPr>
      <w:r>
        <w:rPr>
          <w:rFonts w:ascii="Candara" w:hAnsi="Candara" w:cstheme="minorHAnsi"/>
          <w:noProof/>
        </w:rPr>
        <w:t>Predávajúci</w:t>
      </w:r>
      <w:r w:rsidR="009E580A"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009E580A" w:rsidRPr="009E4C59">
        <w:rPr>
          <w:rFonts w:ascii="Candara" w:hAnsi="Candara" w:cstheme="minorHAnsi"/>
          <w:noProof/>
        </w:rPr>
        <w:t xml:space="preserve"> zároveň predloží Objednávateľovi doklady preukazujúce splnenie podmienky podľa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Zákona o VO za tohto nového subdodávateľa. V prípade, že subdodávateľ nebude spĺňať podmienky podľa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FD8F223"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C392F" w:rsidRPr="004C392F">
        <w:rPr>
          <w:rFonts w:ascii="Candara" w:hAnsi="Candara" w:cstheme="minorHAnsi"/>
          <w:noProof/>
        </w:rPr>
        <w:t>„Zberný dvor Šútovce”.</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p w14:paraId="50C6855B" w14:textId="77777777" w:rsidR="009E4C59" w:rsidRDefault="00080EC4">
      <w:pPr>
        <w:rPr>
          <w:rFonts w:ascii="Calibri" w:hAnsi="Calibri" w:cs="Calibri"/>
          <w:color w:val="000000"/>
        </w:rPr>
      </w:pPr>
      <w:r>
        <w:rPr>
          <w:rFonts w:ascii="Calibri" w:hAnsi="Calibri" w:cs="Calibri"/>
          <w:color w:val="000000"/>
        </w:rPr>
        <w:t>Časť 5: Kontajnery</w:t>
      </w:r>
    </w:p>
    <w:tbl>
      <w:tblPr>
        <w:tblW w:w="12060" w:type="dxa"/>
        <w:tblCellMar>
          <w:left w:w="70" w:type="dxa"/>
          <w:right w:w="70" w:type="dxa"/>
        </w:tblCellMar>
        <w:tblLook w:val="04A0" w:firstRow="1" w:lastRow="0" w:firstColumn="1" w:lastColumn="0" w:noHBand="0" w:noVBand="1"/>
      </w:tblPr>
      <w:tblGrid>
        <w:gridCol w:w="12060"/>
      </w:tblGrid>
      <w:tr w:rsidR="00080EC4" w:rsidRPr="00080EC4" w14:paraId="25F679A3" w14:textId="77777777" w:rsidTr="00080EC4">
        <w:trPr>
          <w:trHeight w:val="320"/>
        </w:trPr>
        <w:tc>
          <w:tcPr>
            <w:tcW w:w="12060" w:type="dxa"/>
            <w:tcBorders>
              <w:top w:val="nil"/>
              <w:left w:val="nil"/>
              <w:bottom w:val="nil"/>
              <w:right w:val="nil"/>
            </w:tcBorders>
            <w:shd w:val="clear" w:color="auto" w:fill="auto"/>
            <w:noWrap/>
            <w:vAlign w:val="center"/>
            <w:hideMark/>
          </w:tcPr>
          <w:p w14:paraId="761BDCE7"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 xml:space="preserve">1ks - Kontajner na </w:t>
            </w:r>
            <w:proofErr w:type="spellStart"/>
            <w:r w:rsidRPr="00080EC4">
              <w:rPr>
                <w:rFonts w:ascii="Arial" w:hAnsi="Arial" w:cs="Arial"/>
                <w:b/>
                <w:bCs/>
                <w:color w:val="000000"/>
                <w:sz w:val="16"/>
                <w:szCs w:val="16"/>
              </w:rPr>
              <w:t>veľkoobjemný</w:t>
            </w:r>
            <w:proofErr w:type="spellEnd"/>
            <w:r w:rsidRPr="00080EC4">
              <w:rPr>
                <w:rFonts w:ascii="Arial" w:hAnsi="Arial" w:cs="Arial"/>
                <w:b/>
                <w:bCs/>
                <w:color w:val="000000"/>
                <w:sz w:val="16"/>
                <w:szCs w:val="16"/>
              </w:rPr>
              <w:t xml:space="preserve"> odpad uzatvárateľný 30m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0C00C224" w14:textId="77777777" w:rsidTr="00080EC4">
        <w:trPr>
          <w:trHeight w:val="320"/>
        </w:trPr>
        <w:tc>
          <w:tcPr>
            <w:tcW w:w="12060" w:type="dxa"/>
            <w:tcBorders>
              <w:top w:val="nil"/>
              <w:left w:val="nil"/>
              <w:bottom w:val="nil"/>
              <w:right w:val="nil"/>
            </w:tcBorders>
            <w:shd w:val="clear" w:color="auto" w:fill="auto"/>
            <w:noWrap/>
            <w:vAlign w:val="center"/>
            <w:hideMark/>
          </w:tcPr>
          <w:p w14:paraId="7BA53575"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w:t>
            </w:r>
          </w:p>
        </w:tc>
      </w:tr>
      <w:tr w:rsidR="00080EC4" w:rsidRPr="00080EC4" w14:paraId="5CA685C5" w14:textId="77777777" w:rsidTr="00080EC4">
        <w:trPr>
          <w:trHeight w:val="320"/>
        </w:trPr>
        <w:tc>
          <w:tcPr>
            <w:tcW w:w="12060" w:type="dxa"/>
            <w:tcBorders>
              <w:top w:val="nil"/>
              <w:left w:val="nil"/>
              <w:bottom w:val="nil"/>
              <w:right w:val="nil"/>
            </w:tcBorders>
            <w:shd w:val="clear" w:color="auto" w:fill="auto"/>
            <w:noWrap/>
            <w:vAlign w:val="center"/>
            <w:hideMark/>
          </w:tcPr>
          <w:p w14:paraId="1424A3A4"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krycou plachtou s kovovými okami, dvojkrídlovými dverami s uzamykateľným mechanizmom       </w:t>
            </w:r>
          </w:p>
        </w:tc>
      </w:tr>
      <w:tr w:rsidR="00080EC4" w:rsidRPr="00080EC4" w14:paraId="3064769B" w14:textId="77777777" w:rsidTr="00080EC4">
        <w:trPr>
          <w:trHeight w:val="320"/>
        </w:trPr>
        <w:tc>
          <w:tcPr>
            <w:tcW w:w="12060" w:type="dxa"/>
            <w:tcBorders>
              <w:top w:val="nil"/>
              <w:left w:val="nil"/>
              <w:bottom w:val="nil"/>
              <w:right w:val="nil"/>
            </w:tcBorders>
            <w:shd w:val="clear" w:color="auto" w:fill="auto"/>
            <w:noWrap/>
            <w:vAlign w:val="center"/>
            <w:hideMark/>
          </w:tcPr>
          <w:p w14:paraId="7B66C36F"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min.28m3, nosnosť min.13.000kg,    </w:t>
            </w:r>
          </w:p>
        </w:tc>
      </w:tr>
      <w:tr w:rsidR="00080EC4" w:rsidRPr="00080EC4" w14:paraId="046F8123" w14:textId="77777777" w:rsidTr="00080EC4">
        <w:trPr>
          <w:trHeight w:val="320"/>
        </w:trPr>
        <w:tc>
          <w:tcPr>
            <w:tcW w:w="12060" w:type="dxa"/>
            <w:tcBorders>
              <w:top w:val="nil"/>
              <w:left w:val="nil"/>
              <w:bottom w:val="nil"/>
              <w:right w:val="nil"/>
            </w:tcBorders>
            <w:shd w:val="clear" w:color="auto" w:fill="auto"/>
            <w:noWrap/>
            <w:vAlign w:val="center"/>
            <w:hideMark/>
          </w:tcPr>
          <w:p w14:paraId="1926E6C3"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29200786" w14:textId="77777777" w:rsidTr="00080EC4">
        <w:trPr>
          <w:trHeight w:val="320"/>
        </w:trPr>
        <w:tc>
          <w:tcPr>
            <w:tcW w:w="12060" w:type="dxa"/>
            <w:tcBorders>
              <w:top w:val="nil"/>
              <w:left w:val="nil"/>
              <w:bottom w:val="nil"/>
              <w:right w:val="nil"/>
            </w:tcBorders>
            <w:shd w:val="clear" w:color="auto" w:fill="auto"/>
            <w:noWrap/>
            <w:vAlign w:val="center"/>
            <w:hideMark/>
          </w:tcPr>
          <w:p w14:paraId="44B9DB54"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7F5A5067" w14:textId="77777777" w:rsidTr="00080EC4">
        <w:trPr>
          <w:trHeight w:val="320"/>
        </w:trPr>
        <w:tc>
          <w:tcPr>
            <w:tcW w:w="12060" w:type="dxa"/>
            <w:tcBorders>
              <w:top w:val="nil"/>
              <w:left w:val="nil"/>
              <w:bottom w:val="nil"/>
              <w:right w:val="nil"/>
            </w:tcBorders>
            <w:shd w:val="clear" w:color="auto" w:fill="auto"/>
            <w:noWrap/>
            <w:vAlign w:val="center"/>
            <w:hideMark/>
          </w:tcPr>
          <w:p w14:paraId="4CCD69A2" w14:textId="77777777" w:rsidR="00080EC4" w:rsidRPr="00080EC4" w:rsidRDefault="00080EC4">
            <w:pPr>
              <w:ind w:firstLineChars="400" w:firstLine="640"/>
              <w:rPr>
                <w:color w:val="000000"/>
                <w:sz w:val="16"/>
                <w:szCs w:val="16"/>
              </w:rPr>
            </w:pPr>
          </w:p>
        </w:tc>
      </w:tr>
      <w:tr w:rsidR="00080EC4" w:rsidRPr="00080EC4" w14:paraId="068D184A" w14:textId="77777777" w:rsidTr="00080EC4">
        <w:trPr>
          <w:trHeight w:val="320"/>
        </w:trPr>
        <w:tc>
          <w:tcPr>
            <w:tcW w:w="12060" w:type="dxa"/>
            <w:tcBorders>
              <w:top w:val="nil"/>
              <w:left w:val="nil"/>
              <w:bottom w:val="nil"/>
              <w:right w:val="nil"/>
            </w:tcBorders>
            <w:shd w:val="clear" w:color="auto" w:fill="auto"/>
            <w:noWrap/>
            <w:vAlign w:val="center"/>
            <w:hideMark/>
          </w:tcPr>
          <w:p w14:paraId="46CB767B"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 xml:space="preserve">2 ks - Kontajner na </w:t>
            </w:r>
            <w:proofErr w:type="spellStart"/>
            <w:r w:rsidRPr="00080EC4">
              <w:rPr>
                <w:rFonts w:ascii="Arial" w:hAnsi="Arial" w:cs="Arial"/>
                <w:b/>
                <w:bCs/>
                <w:color w:val="000000"/>
                <w:sz w:val="16"/>
                <w:szCs w:val="16"/>
              </w:rPr>
              <w:t>veľkoobjemný</w:t>
            </w:r>
            <w:proofErr w:type="spellEnd"/>
            <w:r w:rsidRPr="00080EC4">
              <w:rPr>
                <w:rFonts w:ascii="Arial" w:hAnsi="Arial" w:cs="Arial"/>
                <w:b/>
                <w:bCs/>
                <w:color w:val="000000"/>
                <w:sz w:val="16"/>
                <w:szCs w:val="16"/>
              </w:rPr>
              <w:t xml:space="preserve"> odpad uzatvárateľný 15m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33D022DC" w14:textId="77777777" w:rsidTr="00080EC4">
        <w:trPr>
          <w:trHeight w:val="320"/>
        </w:trPr>
        <w:tc>
          <w:tcPr>
            <w:tcW w:w="12060" w:type="dxa"/>
            <w:tcBorders>
              <w:top w:val="nil"/>
              <w:left w:val="nil"/>
              <w:bottom w:val="nil"/>
              <w:right w:val="nil"/>
            </w:tcBorders>
            <w:shd w:val="clear" w:color="auto" w:fill="auto"/>
            <w:noWrap/>
            <w:vAlign w:val="center"/>
            <w:hideMark/>
          </w:tcPr>
          <w:p w14:paraId="6DE98CEC"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w:t>
            </w:r>
          </w:p>
        </w:tc>
      </w:tr>
      <w:tr w:rsidR="00080EC4" w:rsidRPr="00080EC4" w14:paraId="7C73B3DB" w14:textId="77777777" w:rsidTr="00080EC4">
        <w:trPr>
          <w:trHeight w:val="320"/>
        </w:trPr>
        <w:tc>
          <w:tcPr>
            <w:tcW w:w="12060" w:type="dxa"/>
            <w:tcBorders>
              <w:top w:val="nil"/>
              <w:left w:val="nil"/>
              <w:bottom w:val="nil"/>
              <w:right w:val="nil"/>
            </w:tcBorders>
            <w:shd w:val="clear" w:color="auto" w:fill="auto"/>
            <w:noWrap/>
            <w:vAlign w:val="center"/>
            <w:hideMark/>
          </w:tcPr>
          <w:p w14:paraId="52D625C4"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krycou plachtou s kovovými okami, dvojkrídlovými dverami s uzamykateľným mechanizmom       </w:t>
            </w:r>
          </w:p>
        </w:tc>
      </w:tr>
      <w:tr w:rsidR="00080EC4" w:rsidRPr="00080EC4" w14:paraId="746C5E42" w14:textId="77777777" w:rsidTr="00080EC4">
        <w:trPr>
          <w:trHeight w:val="320"/>
        </w:trPr>
        <w:tc>
          <w:tcPr>
            <w:tcW w:w="12060" w:type="dxa"/>
            <w:tcBorders>
              <w:top w:val="nil"/>
              <w:left w:val="nil"/>
              <w:bottom w:val="nil"/>
              <w:right w:val="nil"/>
            </w:tcBorders>
            <w:shd w:val="clear" w:color="auto" w:fill="auto"/>
            <w:noWrap/>
            <w:vAlign w:val="center"/>
            <w:hideMark/>
          </w:tcPr>
          <w:p w14:paraId="7DC7C8B9"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min.13m3, nosnosť min.9.000kg,    </w:t>
            </w:r>
          </w:p>
        </w:tc>
      </w:tr>
      <w:tr w:rsidR="00080EC4" w:rsidRPr="00080EC4" w14:paraId="65A40DDA" w14:textId="77777777" w:rsidTr="00080EC4">
        <w:trPr>
          <w:trHeight w:val="320"/>
        </w:trPr>
        <w:tc>
          <w:tcPr>
            <w:tcW w:w="12060" w:type="dxa"/>
            <w:tcBorders>
              <w:top w:val="nil"/>
              <w:left w:val="nil"/>
              <w:bottom w:val="nil"/>
              <w:right w:val="nil"/>
            </w:tcBorders>
            <w:shd w:val="clear" w:color="auto" w:fill="auto"/>
            <w:noWrap/>
            <w:vAlign w:val="center"/>
            <w:hideMark/>
          </w:tcPr>
          <w:p w14:paraId="7C691052"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5CD358E3" w14:textId="77777777" w:rsidTr="00080EC4">
        <w:trPr>
          <w:trHeight w:val="320"/>
        </w:trPr>
        <w:tc>
          <w:tcPr>
            <w:tcW w:w="12060" w:type="dxa"/>
            <w:tcBorders>
              <w:top w:val="nil"/>
              <w:left w:val="nil"/>
              <w:bottom w:val="nil"/>
              <w:right w:val="nil"/>
            </w:tcBorders>
            <w:shd w:val="clear" w:color="auto" w:fill="auto"/>
            <w:noWrap/>
            <w:vAlign w:val="center"/>
            <w:hideMark/>
          </w:tcPr>
          <w:p w14:paraId="61B44BF8"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0206BF7F" w14:textId="77777777" w:rsidTr="00080EC4">
        <w:trPr>
          <w:trHeight w:val="320"/>
        </w:trPr>
        <w:tc>
          <w:tcPr>
            <w:tcW w:w="12060" w:type="dxa"/>
            <w:tcBorders>
              <w:top w:val="nil"/>
              <w:left w:val="nil"/>
              <w:bottom w:val="nil"/>
              <w:right w:val="nil"/>
            </w:tcBorders>
            <w:shd w:val="clear" w:color="auto" w:fill="auto"/>
            <w:noWrap/>
            <w:vAlign w:val="center"/>
            <w:hideMark/>
          </w:tcPr>
          <w:p w14:paraId="3305D69B"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7 ks - Kontajner na biologický rozložiteľný odpad uzatvárateľný 12 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3C329BF0" w14:textId="77777777" w:rsidTr="00080EC4">
        <w:trPr>
          <w:trHeight w:val="320"/>
        </w:trPr>
        <w:tc>
          <w:tcPr>
            <w:tcW w:w="12060" w:type="dxa"/>
            <w:tcBorders>
              <w:top w:val="nil"/>
              <w:left w:val="nil"/>
              <w:bottom w:val="nil"/>
              <w:right w:val="nil"/>
            </w:tcBorders>
            <w:shd w:val="clear" w:color="auto" w:fill="auto"/>
            <w:noWrap/>
            <w:vAlign w:val="center"/>
            <w:hideMark/>
          </w:tcPr>
          <w:p w14:paraId="57ED0DAD"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a oceľovým poklopom,  </w:t>
            </w:r>
          </w:p>
        </w:tc>
      </w:tr>
      <w:tr w:rsidR="00080EC4" w:rsidRPr="00080EC4" w14:paraId="7F342723" w14:textId="77777777" w:rsidTr="00080EC4">
        <w:trPr>
          <w:trHeight w:val="320"/>
        </w:trPr>
        <w:tc>
          <w:tcPr>
            <w:tcW w:w="12060" w:type="dxa"/>
            <w:tcBorders>
              <w:top w:val="nil"/>
              <w:left w:val="nil"/>
              <w:bottom w:val="nil"/>
              <w:right w:val="nil"/>
            </w:tcBorders>
            <w:shd w:val="clear" w:color="auto" w:fill="auto"/>
            <w:noWrap/>
            <w:vAlign w:val="center"/>
            <w:hideMark/>
          </w:tcPr>
          <w:p w14:paraId="7C951ADA"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oceľovým poklopom deleným min. na 2 časti, dvojkrídlovými dverami s uzamykateľným mechanizmom       </w:t>
            </w:r>
          </w:p>
        </w:tc>
      </w:tr>
      <w:tr w:rsidR="00080EC4" w:rsidRPr="00080EC4" w14:paraId="1C5295B2" w14:textId="77777777" w:rsidTr="00080EC4">
        <w:trPr>
          <w:trHeight w:val="320"/>
        </w:trPr>
        <w:tc>
          <w:tcPr>
            <w:tcW w:w="12060" w:type="dxa"/>
            <w:tcBorders>
              <w:top w:val="nil"/>
              <w:left w:val="nil"/>
              <w:bottom w:val="nil"/>
              <w:right w:val="nil"/>
            </w:tcBorders>
            <w:shd w:val="clear" w:color="auto" w:fill="auto"/>
            <w:noWrap/>
            <w:vAlign w:val="center"/>
            <w:hideMark/>
          </w:tcPr>
          <w:p w14:paraId="0ECE52FE"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min.10m3, nosnosť min. 8.000kg,    </w:t>
            </w:r>
          </w:p>
        </w:tc>
      </w:tr>
      <w:tr w:rsidR="00080EC4" w:rsidRPr="00080EC4" w14:paraId="30B47109" w14:textId="77777777" w:rsidTr="00080EC4">
        <w:trPr>
          <w:trHeight w:val="320"/>
        </w:trPr>
        <w:tc>
          <w:tcPr>
            <w:tcW w:w="12060" w:type="dxa"/>
            <w:tcBorders>
              <w:top w:val="nil"/>
              <w:left w:val="nil"/>
              <w:bottom w:val="nil"/>
              <w:right w:val="nil"/>
            </w:tcBorders>
            <w:shd w:val="clear" w:color="auto" w:fill="auto"/>
            <w:noWrap/>
            <w:vAlign w:val="center"/>
            <w:hideMark/>
          </w:tcPr>
          <w:p w14:paraId="274582B7"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4D5B7590" w14:textId="77777777" w:rsidTr="00080EC4">
        <w:trPr>
          <w:trHeight w:val="320"/>
        </w:trPr>
        <w:tc>
          <w:tcPr>
            <w:tcW w:w="12060" w:type="dxa"/>
            <w:tcBorders>
              <w:top w:val="nil"/>
              <w:left w:val="nil"/>
              <w:bottom w:val="nil"/>
              <w:right w:val="nil"/>
            </w:tcBorders>
            <w:shd w:val="clear" w:color="auto" w:fill="auto"/>
            <w:noWrap/>
            <w:vAlign w:val="center"/>
            <w:hideMark/>
          </w:tcPr>
          <w:p w14:paraId="156135D9"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1E66705F" w14:textId="77777777" w:rsidTr="00080EC4">
        <w:trPr>
          <w:trHeight w:val="320"/>
        </w:trPr>
        <w:tc>
          <w:tcPr>
            <w:tcW w:w="12060" w:type="dxa"/>
            <w:tcBorders>
              <w:top w:val="nil"/>
              <w:left w:val="nil"/>
              <w:bottom w:val="nil"/>
              <w:right w:val="nil"/>
            </w:tcBorders>
            <w:shd w:val="clear" w:color="auto" w:fill="auto"/>
            <w:noWrap/>
            <w:vAlign w:val="center"/>
            <w:hideMark/>
          </w:tcPr>
          <w:p w14:paraId="48B9E3D6"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3 ks - Kontajner na drobný stavebný odpad 12 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03C710C0" w14:textId="77777777" w:rsidTr="00080EC4">
        <w:trPr>
          <w:trHeight w:val="320"/>
        </w:trPr>
        <w:tc>
          <w:tcPr>
            <w:tcW w:w="12060" w:type="dxa"/>
            <w:tcBorders>
              <w:top w:val="nil"/>
              <w:left w:val="nil"/>
              <w:bottom w:val="nil"/>
              <w:right w:val="nil"/>
            </w:tcBorders>
            <w:shd w:val="clear" w:color="auto" w:fill="auto"/>
            <w:noWrap/>
            <w:vAlign w:val="center"/>
            <w:hideMark/>
          </w:tcPr>
          <w:p w14:paraId="5AF1A801"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w:t>
            </w:r>
          </w:p>
        </w:tc>
      </w:tr>
      <w:tr w:rsidR="00080EC4" w:rsidRPr="00080EC4" w14:paraId="7C4F893C" w14:textId="77777777" w:rsidTr="00080EC4">
        <w:trPr>
          <w:trHeight w:val="320"/>
        </w:trPr>
        <w:tc>
          <w:tcPr>
            <w:tcW w:w="12060" w:type="dxa"/>
            <w:tcBorders>
              <w:top w:val="nil"/>
              <w:left w:val="nil"/>
              <w:bottom w:val="nil"/>
              <w:right w:val="nil"/>
            </w:tcBorders>
            <w:shd w:val="clear" w:color="auto" w:fill="auto"/>
            <w:noWrap/>
            <w:vAlign w:val="center"/>
            <w:hideMark/>
          </w:tcPr>
          <w:p w14:paraId="06DA35D3"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krycou plachtou s kovovými okami, dvojkrídlovými dverami s uzamykateľným mechanizmom       </w:t>
            </w:r>
          </w:p>
        </w:tc>
      </w:tr>
      <w:tr w:rsidR="00080EC4" w:rsidRPr="00080EC4" w14:paraId="3E3ED55E" w14:textId="77777777" w:rsidTr="00080EC4">
        <w:trPr>
          <w:trHeight w:val="320"/>
        </w:trPr>
        <w:tc>
          <w:tcPr>
            <w:tcW w:w="12060" w:type="dxa"/>
            <w:tcBorders>
              <w:top w:val="nil"/>
              <w:left w:val="nil"/>
              <w:bottom w:val="nil"/>
              <w:right w:val="nil"/>
            </w:tcBorders>
            <w:shd w:val="clear" w:color="auto" w:fill="auto"/>
            <w:noWrap/>
            <w:vAlign w:val="center"/>
            <w:hideMark/>
          </w:tcPr>
          <w:p w14:paraId="1250BBBC"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min.10m3, nosnosť min. 8.000kg,    </w:t>
            </w:r>
          </w:p>
        </w:tc>
      </w:tr>
      <w:tr w:rsidR="00080EC4" w:rsidRPr="00080EC4" w14:paraId="1FBB7AB7" w14:textId="77777777" w:rsidTr="00080EC4">
        <w:trPr>
          <w:trHeight w:val="320"/>
        </w:trPr>
        <w:tc>
          <w:tcPr>
            <w:tcW w:w="12060" w:type="dxa"/>
            <w:tcBorders>
              <w:top w:val="nil"/>
              <w:left w:val="nil"/>
              <w:bottom w:val="nil"/>
              <w:right w:val="nil"/>
            </w:tcBorders>
            <w:shd w:val="clear" w:color="auto" w:fill="auto"/>
            <w:noWrap/>
            <w:vAlign w:val="center"/>
            <w:hideMark/>
          </w:tcPr>
          <w:p w14:paraId="0B8C4839"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49D6D0D1" w14:textId="77777777" w:rsidTr="00080EC4">
        <w:trPr>
          <w:trHeight w:val="320"/>
        </w:trPr>
        <w:tc>
          <w:tcPr>
            <w:tcW w:w="12060" w:type="dxa"/>
            <w:tcBorders>
              <w:top w:val="nil"/>
              <w:left w:val="nil"/>
              <w:bottom w:val="nil"/>
              <w:right w:val="nil"/>
            </w:tcBorders>
            <w:shd w:val="clear" w:color="auto" w:fill="auto"/>
            <w:noWrap/>
            <w:vAlign w:val="center"/>
            <w:hideMark/>
          </w:tcPr>
          <w:p w14:paraId="765F874F"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4BF9070B" w14:textId="77777777" w:rsidTr="00080EC4">
        <w:trPr>
          <w:trHeight w:val="320"/>
        </w:trPr>
        <w:tc>
          <w:tcPr>
            <w:tcW w:w="12060" w:type="dxa"/>
            <w:tcBorders>
              <w:top w:val="nil"/>
              <w:left w:val="nil"/>
              <w:bottom w:val="nil"/>
              <w:right w:val="nil"/>
            </w:tcBorders>
            <w:shd w:val="clear" w:color="auto" w:fill="auto"/>
            <w:noWrap/>
            <w:vAlign w:val="center"/>
            <w:hideMark/>
          </w:tcPr>
          <w:p w14:paraId="5115CA26"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1 ks - Nádrž na použitý olej určená na zber a dočasné a bezpečné skladovanie použitého oleja</w:t>
            </w:r>
          </w:p>
        </w:tc>
      </w:tr>
      <w:tr w:rsidR="00080EC4" w:rsidRPr="00080EC4" w14:paraId="52132D5C" w14:textId="77777777" w:rsidTr="00080EC4">
        <w:trPr>
          <w:trHeight w:val="320"/>
        </w:trPr>
        <w:tc>
          <w:tcPr>
            <w:tcW w:w="12060" w:type="dxa"/>
            <w:tcBorders>
              <w:top w:val="nil"/>
              <w:left w:val="nil"/>
              <w:bottom w:val="nil"/>
              <w:right w:val="nil"/>
            </w:tcBorders>
            <w:shd w:val="clear" w:color="auto" w:fill="auto"/>
            <w:noWrap/>
            <w:vAlign w:val="center"/>
            <w:hideMark/>
          </w:tcPr>
          <w:p w14:paraId="2B9018C6"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nadzemná nádrž na bezpečné skladovanie použitého oleja s objemom 600 litrov,    </w:t>
            </w:r>
          </w:p>
        </w:tc>
      </w:tr>
      <w:tr w:rsidR="00080EC4" w:rsidRPr="00080EC4" w14:paraId="1448E77F" w14:textId="77777777" w:rsidTr="00080EC4">
        <w:trPr>
          <w:trHeight w:val="320"/>
        </w:trPr>
        <w:tc>
          <w:tcPr>
            <w:tcW w:w="12060" w:type="dxa"/>
            <w:tcBorders>
              <w:top w:val="nil"/>
              <w:left w:val="nil"/>
              <w:bottom w:val="nil"/>
              <w:right w:val="nil"/>
            </w:tcBorders>
            <w:shd w:val="clear" w:color="auto" w:fill="auto"/>
            <w:noWrap/>
            <w:vAlign w:val="center"/>
            <w:hideMark/>
          </w:tcPr>
          <w:p w14:paraId="44BFFC9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dvojplášťová konštrukcia z tuhého a odolného polyetylénu, odolného voči UV žiareniu,   </w:t>
            </w:r>
          </w:p>
        </w:tc>
      </w:tr>
      <w:tr w:rsidR="00080EC4" w:rsidRPr="00080EC4" w14:paraId="476BC1B8" w14:textId="77777777" w:rsidTr="00080EC4">
        <w:trPr>
          <w:trHeight w:val="320"/>
        </w:trPr>
        <w:tc>
          <w:tcPr>
            <w:tcW w:w="12060" w:type="dxa"/>
            <w:tcBorders>
              <w:top w:val="nil"/>
              <w:left w:val="nil"/>
              <w:bottom w:val="nil"/>
              <w:right w:val="nil"/>
            </w:tcBorders>
            <w:shd w:val="clear" w:color="auto" w:fill="auto"/>
            <w:noWrap/>
            <w:vAlign w:val="center"/>
            <w:hideMark/>
          </w:tcPr>
          <w:p w14:paraId="4BE5BC0B"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plniace hrdlo prispôsobené priame pripojenie s cisternovým vozom,</w:t>
            </w:r>
          </w:p>
        </w:tc>
      </w:tr>
      <w:tr w:rsidR="00080EC4" w:rsidRPr="00080EC4" w14:paraId="1A7CBEA9" w14:textId="77777777" w:rsidTr="00080EC4">
        <w:trPr>
          <w:trHeight w:val="320"/>
        </w:trPr>
        <w:tc>
          <w:tcPr>
            <w:tcW w:w="12060" w:type="dxa"/>
            <w:tcBorders>
              <w:top w:val="nil"/>
              <w:left w:val="nil"/>
              <w:bottom w:val="nil"/>
              <w:right w:val="nil"/>
            </w:tcBorders>
            <w:shd w:val="clear" w:color="auto" w:fill="auto"/>
            <w:noWrap/>
            <w:vAlign w:val="center"/>
            <w:hideMark/>
          </w:tcPr>
          <w:p w14:paraId="0BF393E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snímač úniku kvapaliny,</w:t>
            </w:r>
          </w:p>
        </w:tc>
      </w:tr>
      <w:tr w:rsidR="00080EC4" w:rsidRPr="00080EC4" w14:paraId="45473F98" w14:textId="77777777" w:rsidTr="00080EC4">
        <w:trPr>
          <w:trHeight w:val="320"/>
        </w:trPr>
        <w:tc>
          <w:tcPr>
            <w:tcW w:w="12060" w:type="dxa"/>
            <w:tcBorders>
              <w:top w:val="nil"/>
              <w:left w:val="nil"/>
              <w:bottom w:val="nil"/>
              <w:right w:val="nil"/>
            </w:tcBorders>
            <w:shd w:val="clear" w:color="auto" w:fill="auto"/>
            <w:noWrap/>
            <w:vAlign w:val="center"/>
            <w:hideMark/>
          </w:tcPr>
          <w:p w14:paraId="3EAB1B68"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uzamykateľný poklop,     </w:t>
            </w:r>
          </w:p>
        </w:tc>
      </w:tr>
      <w:tr w:rsidR="00080EC4" w:rsidRPr="00080EC4" w14:paraId="41347B4B" w14:textId="77777777" w:rsidTr="00080EC4">
        <w:trPr>
          <w:trHeight w:val="320"/>
        </w:trPr>
        <w:tc>
          <w:tcPr>
            <w:tcW w:w="12060" w:type="dxa"/>
            <w:tcBorders>
              <w:top w:val="nil"/>
              <w:left w:val="nil"/>
              <w:bottom w:val="nil"/>
              <w:right w:val="nil"/>
            </w:tcBorders>
            <w:shd w:val="clear" w:color="auto" w:fill="auto"/>
            <w:noWrap/>
            <w:vAlign w:val="center"/>
            <w:hideMark/>
          </w:tcPr>
          <w:p w14:paraId="595F89C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hrubé sitko v </w:t>
            </w:r>
            <w:proofErr w:type="spellStart"/>
            <w:r w:rsidRPr="00080EC4">
              <w:rPr>
                <w:rFonts w:ascii="Arial" w:hAnsi="Arial" w:cs="Arial"/>
                <w:color w:val="000000"/>
                <w:sz w:val="16"/>
                <w:szCs w:val="16"/>
              </w:rPr>
              <w:t>nalievacom</w:t>
            </w:r>
            <w:proofErr w:type="spellEnd"/>
            <w:r w:rsidRPr="00080EC4">
              <w:rPr>
                <w:rFonts w:ascii="Arial" w:hAnsi="Arial" w:cs="Arial"/>
                <w:color w:val="000000"/>
                <w:sz w:val="16"/>
                <w:szCs w:val="16"/>
              </w:rPr>
              <w:t xml:space="preserve"> otvore na zachytenie mechanických nečistôt,  </w:t>
            </w:r>
          </w:p>
        </w:tc>
      </w:tr>
      <w:tr w:rsidR="00080EC4" w:rsidRPr="00080EC4" w14:paraId="3B3B574E" w14:textId="77777777" w:rsidTr="00080EC4">
        <w:trPr>
          <w:trHeight w:val="320"/>
        </w:trPr>
        <w:tc>
          <w:tcPr>
            <w:tcW w:w="12060" w:type="dxa"/>
            <w:tcBorders>
              <w:top w:val="nil"/>
              <w:left w:val="nil"/>
              <w:bottom w:val="nil"/>
              <w:right w:val="nil"/>
            </w:tcBorders>
            <w:shd w:val="clear" w:color="auto" w:fill="auto"/>
            <w:noWrap/>
            <w:vAlign w:val="center"/>
            <w:hideMark/>
          </w:tcPr>
          <w:p w14:paraId="156ABF58"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uzamykateľný kryt </w:t>
            </w:r>
            <w:proofErr w:type="spellStart"/>
            <w:r w:rsidRPr="00080EC4">
              <w:rPr>
                <w:rFonts w:ascii="Arial" w:hAnsi="Arial" w:cs="Arial"/>
                <w:color w:val="000000"/>
                <w:sz w:val="16"/>
                <w:szCs w:val="16"/>
              </w:rPr>
              <w:t>nalievacieho</w:t>
            </w:r>
            <w:proofErr w:type="spellEnd"/>
            <w:r w:rsidRPr="00080EC4">
              <w:rPr>
                <w:rFonts w:ascii="Arial" w:hAnsi="Arial" w:cs="Arial"/>
                <w:color w:val="000000"/>
                <w:sz w:val="16"/>
                <w:szCs w:val="16"/>
              </w:rPr>
              <w:t xml:space="preserve"> otvoru.</w:t>
            </w:r>
            <w:r w:rsidRPr="00080EC4">
              <w:rPr>
                <w:rFonts w:ascii="Calibri" w:hAnsi="Calibri" w:cs="Calibri"/>
                <w:color w:val="000000"/>
                <w:sz w:val="16"/>
                <w:szCs w:val="16"/>
              </w:rPr>
              <w:t xml:space="preserve"> </w:t>
            </w:r>
          </w:p>
        </w:tc>
      </w:tr>
      <w:tr w:rsidR="00080EC4" w:rsidRPr="00080EC4" w14:paraId="4F5217C8" w14:textId="77777777" w:rsidTr="00080EC4">
        <w:trPr>
          <w:trHeight w:val="320"/>
        </w:trPr>
        <w:tc>
          <w:tcPr>
            <w:tcW w:w="12060" w:type="dxa"/>
            <w:tcBorders>
              <w:top w:val="nil"/>
              <w:left w:val="nil"/>
              <w:bottom w:val="nil"/>
              <w:right w:val="nil"/>
            </w:tcBorders>
            <w:shd w:val="clear" w:color="auto" w:fill="auto"/>
            <w:noWrap/>
            <w:vAlign w:val="center"/>
            <w:hideMark/>
          </w:tcPr>
          <w:p w14:paraId="6E9117FC"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4 ks - Kontajner na textil/staré šatstvo 2,5m3</w:t>
            </w:r>
          </w:p>
        </w:tc>
      </w:tr>
      <w:tr w:rsidR="00080EC4" w:rsidRPr="00080EC4" w14:paraId="5FB3B988" w14:textId="77777777" w:rsidTr="00080EC4">
        <w:trPr>
          <w:trHeight w:val="320"/>
        </w:trPr>
        <w:tc>
          <w:tcPr>
            <w:tcW w:w="12060" w:type="dxa"/>
            <w:tcBorders>
              <w:top w:val="nil"/>
              <w:left w:val="nil"/>
              <w:bottom w:val="nil"/>
              <w:right w:val="nil"/>
            </w:tcBorders>
            <w:shd w:val="clear" w:color="auto" w:fill="auto"/>
            <w:noWrap/>
            <w:vAlign w:val="center"/>
            <w:hideMark/>
          </w:tcPr>
          <w:p w14:paraId="1B67299A"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určené na zber starého textilu, obuvi, plyšových hračiek atď.,    </w:t>
            </w:r>
          </w:p>
        </w:tc>
      </w:tr>
      <w:tr w:rsidR="00080EC4" w:rsidRPr="00080EC4" w14:paraId="42E90C89" w14:textId="77777777" w:rsidTr="00080EC4">
        <w:trPr>
          <w:trHeight w:val="320"/>
        </w:trPr>
        <w:tc>
          <w:tcPr>
            <w:tcW w:w="12060" w:type="dxa"/>
            <w:tcBorders>
              <w:top w:val="nil"/>
              <w:left w:val="nil"/>
              <w:bottom w:val="nil"/>
              <w:right w:val="nil"/>
            </w:tcBorders>
            <w:shd w:val="clear" w:color="auto" w:fill="auto"/>
            <w:noWrap/>
            <w:vAlign w:val="center"/>
            <w:hideMark/>
          </w:tcPr>
          <w:p w14:paraId="0CE18647"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oceľový kontajner s objemom min.1,8 m3</w:t>
            </w:r>
          </w:p>
        </w:tc>
      </w:tr>
      <w:tr w:rsidR="00080EC4" w:rsidRPr="00080EC4" w14:paraId="77D6C071" w14:textId="77777777" w:rsidTr="00080EC4">
        <w:trPr>
          <w:trHeight w:val="320"/>
        </w:trPr>
        <w:tc>
          <w:tcPr>
            <w:tcW w:w="12060" w:type="dxa"/>
            <w:tcBorders>
              <w:top w:val="nil"/>
              <w:left w:val="nil"/>
              <w:bottom w:val="nil"/>
              <w:right w:val="nil"/>
            </w:tcBorders>
            <w:shd w:val="clear" w:color="auto" w:fill="auto"/>
            <w:noWrap/>
            <w:vAlign w:val="center"/>
            <w:hideMark/>
          </w:tcPr>
          <w:p w14:paraId="0192CD33"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odolný voči poveternostným zmenám </w:t>
            </w:r>
          </w:p>
        </w:tc>
      </w:tr>
      <w:tr w:rsidR="00080EC4" w:rsidRPr="00080EC4" w14:paraId="47C20570" w14:textId="77777777" w:rsidTr="00080EC4">
        <w:trPr>
          <w:trHeight w:val="320"/>
        </w:trPr>
        <w:tc>
          <w:tcPr>
            <w:tcW w:w="12060" w:type="dxa"/>
            <w:tcBorders>
              <w:top w:val="nil"/>
              <w:left w:val="nil"/>
              <w:bottom w:val="nil"/>
              <w:right w:val="nil"/>
            </w:tcBorders>
            <w:shd w:val="clear" w:color="auto" w:fill="auto"/>
            <w:noWrap/>
            <w:vAlign w:val="center"/>
            <w:hideMark/>
          </w:tcPr>
          <w:p w14:paraId="04A1A19F" w14:textId="77777777" w:rsidR="00080EC4" w:rsidRPr="00080EC4" w:rsidRDefault="00080EC4">
            <w:pPr>
              <w:ind w:firstLineChars="200" w:firstLine="320"/>
              <w:rPr>
                <w:rFonts w:ascii="Arial" w:hAnsi="Arial" w:cs="Arial"/>
                <w:color w:val="000000"/>
                <w:sz w:val="16"/>
                <w:szCs w:val="16"/>
              </w:rPr>
            </w:pPr>
            <w:r w:rsidRPr="00080EC4">
              <w:rPr>
                <w:rFonts w:ascii="Arial" w:hAnsi="Arial" w:cs="Arial"/>
                <w:color w:val="000000"/>
                <w:sz w:val="16"/>
                <w:szCs w:val="16"/>
              </w:rPr>
              <w:lastRenderedPageBreak/>
              <w:t xml:space="preserve">     </w:t>
            </w:r>
          </w:p>
        </w:tc>
      </w:tr>
      <w:tr w:rsidR="00080EC4" w:rsidRPr="00080EC4" w14:paraId="29348805" w14:textId="77777777" w:rsidTr="00080EC4">
        <w:trPr>
          <w:trHeight w:val="320"/>
        </w:trPr>
        <w:tc>
          <w:tcPr>
            <w:tcW w:w="12060" w:type="dxa"/>
            <w:tcBorders>
              <w:top w:val="nil"/>
              <w:left w:val="nil"/>
              <w:bottom w:val="nil"/>
              <w:right w:val="nil"/>
            </w:tcBorders>
            <w:shd w:val="clear" w:color="auto" w:fill="auto"/>
            <w:noWrap/>
            <w:vAlign w:val="center"/>
            <w:hideMark/>
          </w:tcPr>
          <w:p w14:paraId="795767C2"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1 ks - Kontajner na textil/staré šatstvo 9/12m3</w:t>
            </w:r>
          </w:p>
        </w:tc>
      </w:tr>
      <w:tr w:rsidR="00080EC4" w:rsidRPr="00080EC4" w14:paraId="0D9EA547" w14:textId="77777777" w:rsidTr="00080EC4">
        <w:trPr>
          <w:trHeight w:val="320"/>
        </w:trPr>
        <w:tc>
          <w:tcPr>
            <w:tcW w:w="12060" w:type="dxa"/>
            <w:tcBorders>
              <w:top w:val="nil"/>
              <w:left w:val="nil"/>
              <w:bottom w:val="nil"/>
              <w:right w:val="nil"/>
            </w:tcBorders>
            <w:shd w:val="clear" w:color="auto" w:fill="auto"/>
            <w:noWrap/>
            <w:vAlign w:val="center"/>
            <w:hideMark/>
          </w:tcPr>
          <w:p w14:paraId="5F52FC1C"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určené na zber starého textilu, obuvi, plyšových hračiek atď.,    </w:t>
            </w:r>
          </w:p>
        </w:tc>
      </w:tr>
      <w:tr w:rsidR="00080EC4" w:rsidRPr="00080EC4" w14:paraId="558054E0" w14:textId="77777777" w:rsidTr="00080EC4">
        <w:trPr>
          <w:trHeight w:val="320"/>
        </w:trPr>
        <w:tc>
          <w:tcPr>
            <w:tcW w:w="12060" w:type="dxa"/>
            <w:tcBorders>
              <w:top w:val="nil"/>
              <w:left w:val="nil"/>
              <w:bottom w:val="nil"/>
              <w:right w:val="nil"/>
            </w:tcBorders>
            <w:shd w:val="clear" w:color="auto" w:fill="auto"/>
            <w:noWrap/>
            <w:vAlign w:val="center"/>
            <w:hideMark/>
          </w:tcPr>
          <w:p w14:paraId="1A3745E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oceľový kontajner s objemom min.9,0 m3 s pevnou strechou a dvojkrídlovými dverami </w:t>
            </w:r>
          </w:p>
        </w:tc>
      </w:tr>
      <w:tr w:rsidR="00080EC4" w:rsidRPr="00080EC4" w14:paraId="6D0C8675" w14:textId="77777777" w:rsidTr="00080EC4">
        <w:trPr>
          <w:trHeight w:val="320"/>
        </w:trPr>
        <w:tc>
          <w:tcPr>
            <w:tcW w:w="12060" w:type="dxa"/>
            <w:tcBorders>
              <w:top w:val="nil"/>
              <w:left w:val="nil"/>
              <w:bottom w:val="nil"/>
              <w:right w:val="nil"/>
            </w:tcBorders>
            <w:shd w:val="clear" w:color="auto" w:fill="auto"/>
            <w:noWrap/>
            <w:vAlign w:val="center"/>
            <w:hideMark/>
          </w:tcPr>
          <w:p w14:paraId="3744FF8D"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2 otvory na vhodenie odpadu</w:t>
            </w:r>
          </w:p>
        </w:tc>
      </w:tr>
      <w:tr w:rsidR="00080EC4" w:rsidRPr="00080EC4" w14:paraId="52BA2BF4" w14:textId="77777777" w:rsidTr="00080EC4">
        <w:trPr>
          <w:trHeight w:val="320"/>
        </w:trPr>
        <w:tc>
          <w:tcPr>
            <w:tcW w:w="12060" w:type="dxa"/>
            <w:tcBorders>
              <w:top w:val="nil"/>
              <w:left w:val="nil"/>
              <w:bottom w:val="nil"/>
              <w:right w:val="nil"/>
            </w:tcBorders>
            <w:shd w:val="clear" w:color="auto" w:fill="auto"/>
            <w:noWrap/>
            <w:vAlign w:val="center"/>
            <w:hideMark/>
          </w:tcPr>
          <w:p w14:paraId="148F263A"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odolný voči poveternostným zmenám</w:t>
            </w:r>
          </w:p>
        </w:tc>
      </w:tr>
    </w:tbl>
    <w:p w14:paraId="7D889C2F" w14:textId="782C264E" w:rsidR="00080EC4" w:rsidRPr="009E4C59" w:rsidRDefault="00080EC4">
      <w:pPr>
        <w:rPr>
          <w:rFonts w:ascii="Candara" w:hAnsi="Candara"/>
        </w:rPr>
        <w:sectPr w:rsidR="00080EC4" w:rsidRPr="009E4C59" w:rsidSect="00080EC4">
          <w:pgSz w:w="11906" w:h="16838"/>
          <w:pgMar w:top="1417" w:right="1179"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2DA18294"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080EC4">
        <w:rPr>
          <w:rFonts w:ascii="Calibri" w:hAnsi="Calibri" w:cs="Calibri"/>
          <w:color w:val="000000"/>
        </w:rPr>
        <w:t>KONTAJNERY</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080EC4">
        <w:rPr>
          <w:rFonts w:ascii="Candara" w:hAnsi="Candara" w:cstheme="minorHAnsi"/>
          <w:caps w:val="0"/>
          <w:color w:val="000000" w:themeColor="text1"/>
        </w:rPr>
        <w:t>5</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59"/>
        <w:gridCol w:w="2438"/>
        <w:gridCol w:w="1384"/>
        <w:gridCol w:w="1559"/>
        <w:gridCol w:w="892"/>
        <w:gridCol w:w="1801"/>
      </w:tblGrid>
      <w:tr w:rsidR="009E4C59" w:rsidRPr="009E4C59" w14:paraId="267B31E5" w14:textId="77777777" w:rsidTr="00080EC4">
        <w:trPr>
          <w:trHeight w:val="1151"/>
          <w:jc w:val="center"/>
        </w:trPr>
        <w:tc>
          <w:tcPr>
            <w:tcW w:w="676"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59"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384"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559"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892"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01"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080EC4">
        <w:trPr>
          <w:trHeight w:val="564"/>
          <w:jc w:val="center"/>
        </w:trPr>
        <w:tc>
          <w:tcPr>
            <w:tcW w:w="676" w:type="dxa"/>
            <w:shd w:val="clear" w:color="auto" w:fill="auto"/>
            <w:vAlign w:val="center"/>
          </w:tcPr>
          <w:p w14:paraId="5F35EFB6" w14:textId="1880151B" w:rsidR="0042472B" w:rsidRPr="0042472B" w:rsidRDefault="00080EC4" w:rsidP="00BA0F29">
            <w:pPr>
              <w:jc w:val="center"/>
              <w:rPr>
                <w:rFonts w:ascii="Candara" w:hAnsi="Candara" w:cs="Arial"/>
                <w:b/>
                <w:sz w:val="22"/>
                <w:szCs w:val="22"/>
              </w:rPr>
            </w:pPr>
            <w:r>
              <w:rPr>
                <w:rFonts w:ascii="Candara" w:hAnsi="Candara" w:cs="Arial"/>
                <w:b/>
                <w:sz w:val="22"/>
                <w:szCs w:val="22"/>
              </w:rPr>
              <w:t>5</w:t>
            </w:r>
            <w:r w:rsidR="0042472B" w:rsidRPr="0042472B">
              <w:rPr>
                <w:rFonts w:ascii="Candara" w:hAnsi="Candara" w:cs="Arial"/>
                <w:b/>
                <w:sz w:val="22"/>
                <w:szCs w:val="22"/>
              </w:rPr>
              <w:t>.</w:t>
            </w:r>
          </w:p>
        </w:tc>
        <w:tc>
          <w:tcPr>
            <w:tcW w:w="459"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C95B44D" w:rsidR="0042472B" w:rsidRPr="0042472B" w:rsidRDefault="00080EC4" w:rsidP="00AD01F0">
            <w:pPr>
              <w:rPr>
                <w:rFonts w:ascii="Candara" w:hAnsi="Candara" w:cs="Arial"/>
                <w:b/>
                <w:sz w:val="22"/>
                <w:szCs w:val="22"/>
              </w:rPr>
            </w:pPr>
            <w:r>
              <w:rPr>
                <w:rFonts w:ascii="Candara" w:hAnsi="Candara" w:cs="Arial"/>
                <w:b/>
                <w:sz w:val="22"/>
                <w:szCs w:val="22"/>
              </w:rPr>
              <w:t>Kontajnery</w:t>
            </w:r>
          </w:p>
        </w:tc>
        <w:tc>
          <w:tcPr>
            <w:tcW w:w="1384" w:type="dxa"/>
            <w:shd w:val="clear" w:color="auto" w:fill="auto"/>
            <w:vAlign w:val="center"/>
          </w:tcPr>
          <w:p w14:paraId="3C828D40" w14:textId="4527DC6A" w:rsidR="00080EC4" w:rsidRPr="0042472B" w:rsidRDefault="00080EC4" w:rsidP="00080EC4">
            <w:pPr>
              <w:jc w:val="center"/>
              <w:rPr>
                <w:rFonts w:ascii="Candara" w:hAnsi="Candara" w:cs="Arial"/>
                <w:b/>
                <w:iCs/>
                <w:sz w:val="22"/>
                <w:szCs w:val="22"/>
              </w:rPr>
            </w:pPr>
            <w:r>
              <w:rPr>
                <w:rFonts w:ascii="Candara" w:hAnsi="Candara" w:cs="Arial"/>
                <w:b/>
                <w:iCs/>
                <w:sz w:val="22"/>
                <w:szCs w:val="22"/>
              </w:rPr>
              <w:t>Súbor</w:t>
            </w:r>
          </w:p>
        </w:tc>
        <w:tc>
          <w:tcPr>
            <w:tcW w:w="1559"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892"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01"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080EC4">
        <w:tblPrEx>
          <w:tblCellMar>
            <w:left w:w="108" w:type="dxa"/>
            <w:right w:w="108" w:type="dxa"/>
          </w:tblCellMar>
        </w:tblPrEx>
        <w:trPr>
          <w:jc w:val="center"/>
        </w:trPr>
        <w:tc>
          <w:tcPr>
            <w:tcW w:w="7408"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01"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080EC4">
        <w:tblPrEx>
          <w:tblCellMar>
            <w:left w:w="108" w:type="dxa"/>
            <w:right w:w="108" w:type="dxa"/>
          </w:tblCellMar>
        </w:tblPrEx>
        <w:trPr>
          <w:jc w:val="center"/>
        </w:trPr>
        <w:tc>
          <w:tcPr>
            <w:tcW w:w="7408"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01"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080EC4">
        <w:tblPrEx>
          <w:tblCellMar>
            <w:left w:w="108" w:type="dxa"/>
            <w:right w:w="108" w:type="dxa"/>
          </w:tblCellMar>
        </w:tblPrEx>
        <w:trPr>
          <w:jc w:val="center"/>
        </w:trPr>
        <w:tc>
          <w:tcPr>
            <w:tcW w:w="7408"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01"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7AA87226"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080EC4">
        <w:rPr>
          <w:rFonts w:ascii="Candara" w:hAnsi="Candara" w:cstheme="minorHAnsi"/>
          <w:caps w:val="0"/>
          <w:color w:val="000000" w:themeColor="text1"/>
        </w:rPr>
        <w:t>Kontajnery</w:t>
      </w:r>
      <w:r w:rsidR="00084DBC" w:rsidRPr="00084DBC">
        <w:rPr>
          <w:rFonts w:ascii="Candara" w:hAnsi="Candara" w:cstheme="minorHAnsi"/>
          <w:caps w:val="0"/>
          <w:color w:val="000000" w:themeColor="text1"/>
        </w:rPr>
        <w:t xml:space="preserve">“ časť </w:t>
      </w:r>
      <w:r w:rsidR="00080EC4">
        <w:rPr>
          <w:rFonts w:ascii="Candara" w:hAnsi="Candara" w:cstheme="minorHAnsi"/>
          <w:caps w:val="0"/>
          <w:color w:val="000000" w:themeColor="text1"/>
        </w:rPr>
        <w:t>5</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A0E62" w14:textId="77777777" w:rsidR="00C11A47" w:rsidRDefault="00C11A47" w:rsidP="009E4C59">
      <w:r>
        <w:separator/>
      </w:r>
    </w:p>
  </w:endnote>
  <w:endnote w:type="continuationSeparator" w:id="0">
    <w:p w14:paraId="59CFEF8C" w14:textId="77777777" w:rsidR="00C11A47" w:rsidRDefault="00C11A47"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9C512" w14:textId="77777777" w:rsidR="00C11A47" w:rsidRDefault="00C11A47" w:rsidP="009E4C59">
      <w:r>
        <w:separator/>
      </w:r>
    </w:p>
  </w:footnote>
  <w:footnote w:type="continuationSeparator" w:id="0">
    <w:p w14:paraId="4632E915" w14:textId="77777777" w:rsidR="00C11A47" w:rsidRDefault="00C11A47"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0EC4"/>
    <w:rsid w:val="00084DBC"/>
    <w:rsid w:val="000935EE"/>
    <w:rsid w:val="00150FA6"/>
    <w:rsid w:val="00200C76"/>
    <w:rsid w:val="00261C01"/>
    <w:rsid w:val="002A2F84"/>
    <w:rsid w:val="00300F05"/>
    <w:rsid w:val="00330796"/>
    <w:rsid w:val="00377F4A"/>
    <w:rsid w:val="003847B3"/>
    <w:rsid w:val="003D094C"/>
    <w:rsid w:val="004153AC"/>
    <w:rsid w:val="0042472B"/>
    <w:rsid w:val="0045753F"/>
    <w:rsid w:val="004C392F"/>
    <w:rsid w:val="00601F8D"/>
    <w:rsid w:val="00602FE0"/>
    <w:rsid w:val="00664063"/>
    <w:rsid w:val="00664596"/>
    <w:rsid w:val="00713012"/>
    <w:rsid w:val="00757287"/>
    <w:rsid w:val="00776E9F"/>
    <w:rsid w:val="00777185"/>
    <w:rsid w:val="00791896"/>
    <w:rsid w:val="007C665D"/>
    <w:rsid w:val="00843CDB"/>
    <w:rsid w:val="009A049E"/>
    <w:rsid w:val="009D502B"/>
    <w:rsid w:val="009E4C59"/>
    <w:rsid w:val="009E580A"/>
    <w:rsid w:val="00AA5A4D"/>
    <w:rsid w:val="00AD01F0"/>
    <w:rsid w:val="00B568C1"/>
    <w:rsid w:val="00BF4B7E"/>
    <w:rsid w:val="00C00352"/>
    <w:rsid w:val="00C11A47"/>
    <w:rsid w:val="00C8287D"/>
    <w:rsid w:val="00E260FA"/>
    <w:rsid w:val="00E533A8"/>
    <w:rsid w:val="00E92A8B"/>
    <w:rsid w:val="00ED357A"/>
    <w:rsid w:val="00F31CE4"/>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683">
      <w:bodyDiv w:val="1"/>
      <w:marLeft w:val="0"/>
      <w:marRight w:val="0"/>
      <w:marTop w:val="0"/>
      <w:marBottom w:val="0"/>
      <w:divBdr>
        <w:top w:val="none" w:sz="0" w:space="0" w:color="auto"/>
        <w:left w:val="none" w:sz="0" w:space="0" w:color="auto"/>
        <w:bottom w:val="none" w:sz="0" w:space="0" w:color="auto"/>
        <w:right w:val="none" w:sz="0" w:space="0" w:color="auto"/>
      </w:divBdr>
    </w:div>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153880002">
      <w:bodyDiv w:val="1"/>
      <w:marLeft w:val="0"/>
      <w:marRight w:val="0"/>
      <w:marTop w:val="0"/>
      <w:marBottom w:val="0"/>
      <w:divBdr>
        <w:top w:val="none" w:sz="0" w:space="0" w:color="auto"/>
        <w:left w:val="none" w:sz="0" w:space="0" w:color="auto"/>
        <w:bottom w:val="none" w:sz="0" w:space="0" w:color="auto"/>
        <w:right w:val="none" w:sz="0" w:space="0" w:color="auto"/>
      </w:divBdr>
    </w:div>
    <w:div w:id="176502410">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928077552">
      <w:bodyDiv w:val="1"/>
      <w:marLeft w:val="0"/>
      <w:marRight w:val="0"/>
      <w:marTop w:val="0"/>
      <w:marBottom w:val="0"/>
      <w:divBdr>
        <w:top w:val="none" w:sz="0" w:space="0" w:color="auto"/>
        <w:left w:val="none" w:sz="0" w:space="0" w:color="auto"/>
        <w:bottom w:val="none" w:sz="0" w:space="0" w:color="auto"/>
        <w:right w:val="none" w:sz="0" w:space="0" w:color="auto"/>
      </w:divBdr>
    </w:div>
    <w:div w:id="1112702043">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704742416">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3304</Words>
  <Characters>18835</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4</cp:revision>
  <cp:lastPrinted>2022-07-13T07:19:00Z</cp:lastPrinted>
  <dcterms:created xsi:type="dcterms:W3CDTF">2023-01-23T15:45:00Z</dcterms:created>
  <dcterms:modified xsi:type="dcterms:W3CDTF">2023-05-23T10:05:00Z</dcterms:modified>
</cp:coreProperties>
</file>