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38B16C7A"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00084DBC" w:rsidRPr="00084DBC">
        <w:rPr>
          <w:rFonts w:ascii="Candara" w:hAnsi="Candara" w:cstheme="minorHAnsi"/>
          <w:b/>
          <w:caps/>
          <w:noProof/>
        </w:rPr>
        <w:t>Zabezpečenie technického vybavenia pre zberný dvor obc</w:t>
      </w:r>
      <w:r w:rsidR="00084DBC">
        <w:rPr>
          <w:rFonts w:ascii="Candara" w:hAnsi="Candara" w:cstheme="minorHAnsi"/>
          <w:b/>
          <w:caps/>
          <w:noProof/>
        </w:rPr>
        <w:t>I</w:t>
      </w:r>
      <w:r w:rsidR="00084DBC" w:rsidRPr="00084DBC">
        <w:rPr>
          <w:rFonts w:ascii="Candara" w:hAnsi="Candara" w:cstheme="minorHAnsi"/>
          <w:b/>
          <w:caps/>
          <w:noProof/>
        </w:rPr>
        <w:t xml:space="preserve"> Šútovce</w:t>
      </w:r>
      <w:r w:rsidR="00084DBC">
        <w:rPr>
          <w:rFonts w:ascii="Candara" w:hAnsi="Candara" w:cstheme="minorHAnsi"/>
          <w:b/>
          <w:caps/>
          <w:noProof/>
        </w:rPr>
        <w:t xml:space="preserve"> </w:t>
      </w:r>
      <w:r w:rsidR="0042472B">
        <w:rPr>
          <w:rFonts w:ascii="Candara" w:hAnsi="Candara" w:cstheme="minorHAnsi"/>
          <w:b/>
          <w:caps/>
          <w:noProof/>
        </w:rPr>
        <w:t xml:space="preserve">– </w:t>
      </w:r>
      <w:r w:rsidR="00AD01F0" w:rsidRPr="00AD01F0">
        <w:rPr>
          <w:rFonts w:ascii="Candara" w:hAnsi="Candara" w:cstheme="minorHAnsi"/>
          <w:b/>
          <w:caps/>
          <w:noProof/>
        </w:rPr>
        <w:t>Čelný nakladač s príslušenstvom</w:t>
      </w:r>
      <w:r w:rsidRPr="00843CDB">
        <w:rPr>
          <w:rFonts w:ascii="Candara" w:hAnsi="Candara" w:cstheme="minorHAnsi"/>
          <w:b/>
          <w:caps/>
          <w:noProof/>
        </w:rPr>
        <w:t xml:space="preserve">“ časť </w:t>
      </w:r>
      <w:r w:rsidR="00AD01F0">
        <w:rPr>
          <w:rFonts w:ascii="Candara" w:hAnsi="Candara" w:cstheme="minorHAnsi"/>
          <w:b/>
          <w:caps/>
          <w:noProof/>
        </w:rPr>
        <w:t>2</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0350DF68"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084DBC">
        <w:rPr>
          <w:rFonts w:ascii="Candara" w:hAnsi="Candara" w:cstheme="minorHAnsi"/>
          <w:shd w:val="clear" w:color="auto" w:fill="FFFFFF"/>
        </w:rPr>
        <w:t>Šútovce</w:t>
      </w:r>
      <w:r w:rsidRPr="009E4C59">
        <w:rPr>
          <w:rFonts w:ascii="Candara" w:hAnsi="Candara" w:cstheme="minorHAnsi"/>
          <w:b/>
          <w:noProof/>
        </w:rPr>
        <w:tab/>
      </w:r>
    </w:p>
    <w:p w14:paraId="058528AE" w14:textId="529CD058"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Šútovce č.39, Bojnice 972 01</w:t>
      </w:r>
    </w:p>
    <w:p w14:paraId="3CE73E2C" w14:textId="0CCBCBA6"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084DBC" w:rsidRPr="00084DBC">
        <w:rPr>
          <w:rFonts w:ascii="Candara" w:hAnsi="Candara" w:cstheme="minorHAnsi"/>
          <w:noProof/>
        </w:rPr>
        <w:t>Bc. Miroslav Rajčo, starosta</w:t>
      </w:r>
    </w:p>
    <w:p w14:paraId="0E48FE93" w14:textId="584C4AF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00318507</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300FA609"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084DBC" w:rsidRPr="00084DBC">
        <w:rPr>
          <w:rFonts w:ascii="Candara" w:hAnsi="Candara" w:cstheme="minorHAnsi"/>
          <w:noProof/>
        </w:rPr>
        <w:t>Bc. Miroslav Rajčo</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C00352"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lastRenderedPageBreak/>
        <w:t xml:space="preserve">Kupujúci na obstaranie predmetu tejto zmluvy použil postup verejného obstarávania v súlade so zákonom č. 343/2015 Z. z. o verejnom obstarávaní a o zmene a doplnení niektorých zákonov v znení neskorších predpisov, v ktorom sa úspešným uchádzačom </w:t>
      </w:r>
      <w:r w:rsidRPr="00C00352">
        <w:rPr>
          <w:rFonts w:ascii="Candara" w:hAnsi="Candara" w:cstheme="minorHAnsi"/>
          <w:noProof/>
        </w:rPr>
        <w:t>stal Predávajúci.</w:t>
      </w:r>
    </w:p>
    <w:p w14:paraId="761CF149" w14:textId="5DF88134" w:rsidR="009E4C59" w:rsidRPr="00C00352" w:rsidRDefault="009E4C59" w:rsidP="009E4C59">
      <w:pPr>
        <w:pStyle w:val="Odsekzoznamu"/>
        <w:numPr>
          <w:ilvl w:val="1"/>
          <w:numId w:val="16"/>
        </w:numPr>
        <w:spacing w:after="120"/>
        <w:jc w:val="both"/>
        <w:rPr>
          <w:rFonts w:ascii="Candara" w:hAnsi="Candara" w:cstheme="minorHAnsi"/>
          <w:noProof/>
        </w:rPr>
      </w:pPr>
      <w:r w:rsidRPr="00C00352">
        <w:rPr>
          <w:rFonts w:ascii="Candara" w:hAnsi="Candara" w:cstheme="minorHAnsi"/>
          <w:noProof/>
        </w:rPr>
        <w:t>Táto zmluva sa uzatvára v súvislosti s realizáciou projektu „</w:t>
      </w:r>
      <w:r w:rsidR="00084DBC" w:rsidRPr="00C00352">
        <w:rPr>
          <w:rFonts w:ascii="Candara" w:hAnsi="Candara" w:cstheme="minorHAnsi"/>
          <w:noProof/>
        </w:rPr>
        <w:t>Zberný dvor Šútovce</w:t>
      </w:r>
      <w:r w:rsidRPr="00C00352">
        <w:rPr>
          <w:rFonts w:ascii="Candara" w:hAnsi="Candara" w:cstheme="minorHAnsi"/>
          <w:noProof/>
        </w:rPr>
        <w:t xml:space="preserve">”, ktorý je spolufinancovaný prostredníctvom </w:t>
      </w:r>
      <w:r w:rsidR="00ED357A" w:rsidRPr="00C00352">
        <w:rPr>
          <w:rFonts w:ascii="Candara" w:hAnsi="Candara" w:cstheme="minorHAnsi"/>
          <w:noProof/>
        </w:rPr>
        <w:t>európskych štrukturálnych a investičných fondov v rámci operačného programu kvalita životného prostredia, Prioritná os: 1. Udržateľné využívanie prírodných zdrojov prostredníctvom rozvoja environmentálnej infraštruktúry a Špecifického cieľa: 1.1.1 Zvýšenie miery zhodnocovania odpadov so zameraním na ich prípravu na opätovné použitie a recykláciu a podpora predchádzania vzniku odpadov uvedeného vo výzve na predkladanie ponúk.</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81D74B2" w14:textId="17FB5980" w:rsidR="009E4C59" w:rsidRPr="00AD01F0" w:rsidRDefault="009E4C59" w:rsidP="00AD01F0">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w:t>
      </w:r>
      <w:r w:rsidR="00084DBC" w:rsidRPr="00084DBC">
        <w:rPr>
          <w:rFonts w:ascii="Candara" w:hAnsi="Candara" w:cstheme="minorHAnsi"/>
          <w:noProof/>
        </w:rPr>
        <w:t>ZABEZPEČENIE TECHNICKÉHO VYBAVENIA PRE ZBERNÝ DVOR OBC</w:t>
      </w:r>
      <w:r w:rsidR="00084DBC">
        <w:rPr>
          <w:rFonts w:ascii="Candara" w:hAnsi="Candara" w:cstheme="minorHAnsi"/>
          <w:noProof/>
        </w:rPr>
        <w:t>I</w:t>
      </w:r>
      <w:r w:rsidR="00084DBC" w:rsidRPr="00084DBC">
        <w:rPr>
          <w:rFonts w:ascii="Candara" w:hAnsi="Candara" w:cstheme="minorHAnsi"/>
          <w:noProof/>
        </w:rPr>
        <w:t xml:space="preserve"> ŠÚTOVCE</w:t>
      </w:r>
      <w:r w:rsidR="00B568C1">
        <w:rPr>
          <w:rFonts w:ascii="Candara" w:hAnsi="Candara" w:cstheme="minorHAnsi"/>
          <w:noProof/>
        </w:rPr>
        <w:t xml:space="preserve">“ časť </w:t>
      </w:r>
      <w:r w:rsidR="00AD01F0" w:rsidRPr="00AD01F0">
        <w:rPr>
          <w:rFonts w:ascii="Candara" w:hAnsi="Candara" w:cstheme="minorHAnsi"/>
          <w:noProof/>
        </w:rPr>
        <w:t>2</w:t>
      </w:r>
      <w:r w:rsidR="00B568C1" w:rsidRPr="00AD01F0">
        <w:rPr>
          <w:rFonts w:ascii="Candara" w:hAnsi="Candara" w:cstheme="minorHAnsi"/>
          <w:noProof/>
        </w:rPr>
        <w:t>:</w:t>
      </w:r>
      <w:r w:rsidR="00AD01F0" w:rsidRPr="00AD01F0">
        <w:rPr>
          <w:rFonts w:ascii="Candara" w:hAnsi="Candara" w:cstheme="minorHAnsi"/>
          <w:noProof/>
        </w:rPr>
        <w:t xml:space="preserve"> </w:t>
      </w:r>
      <w:r w:rsidR="00AD01F0" w:rsidRPr="00AD01F0">
        <w:rPr>
          <w:rFonts w:ascii="Candara" w:hAnsi="Candara" w:cstheme="minorHAnsi"/>
        </w:rPr>
        <w:t>Čelný nakladač s príslušenstvom</w:t>
      </w: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1B202D51"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084DBC" w:rsidRPr="00084DBC">
        <w:rPr>
          <w:rFonts w:ascii="Candara" w:hAnsi="Candara" w:cstheme="minorHAnsi"/>
          <w:i/>
          <w:shd w:val="clear" w:color="auto" w:fill="FFFFFF"/>
        </w:rPr>
        <w:t>ZABEZPEČENIE TECHNICKÉHO VYBAVENIA PRE ZBERNÝ DVOR OBCI ŠÚTOVCE</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lastRenderedPageBreak/>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22325E09" w14:textId="77777777" w:rsidR="00E310EF" w:rsidRPr="00ED357A" w:rsidRDefault="00E310EF" w:rsidP="00E310EF">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Táto je kalkulovaná vrátane DPH. </w:t>
      </w:r>
      <w:r w:rsidRPr="00ED357A">
        <w:rPr>
          <w:rFonts w:ascii="Candara" w:eastAsiaTheme="minorHAnsi" w:hAnsi="Candara" w:cstheme="minorHAnsi"/>
          <w:color w:val="1A1A1A"/>
          <w:lang w:val="en-US"/>
        </w:rPr>
        <w:t>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motatných technických jednotiek, záznam zaškolenia obsluhy, servisná knižka, návod na obsluhu a údržbu, katalóg náhradných dielov)*. Písomná dokumentácia bude vyhotovená v jazyku slovenskom. Na tento účel sa za dostatočný považuje aj dokument vyhotovený v jazyku českom. </w:t>
      </w:r>
    </w:p>
    <w:p w14:paraId="014E318D" w14:textId="77777777" w:rsidR="00E310EF" w:rsidRPr="009E4C59" w:rsidRDefault="00E310EF" w:rsidP="00E310EF">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a pevné počas trvania zmluvy.</w:t>
      </w:r>
    </w:p>
    <w:p w14:paraId="2FCF9D21" w14:textId="77777777" w:rsidR="00E310EF" w:rsidRPr="009E4C59" w:rsidRDefault="00E310EF" w:rsidP="00E310EF">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21F49A19"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C00352">
        <w:rPr>
          <w:rFonts w:ascii="Candara" w:hAnsi="Candara" w:cstheme="minorHAnsi"/>
          <w:noProof/>
        </w:rPr>
        <w:t>5.1.</w:t>
      </w:r>
      <w:r w:rsidRPr="00C00352">
        <w:rPr>
          <w:rFonts w:ascii="Candara" w:hAnsi="Candara" w:cstheme="minorHAnsi"/>
          <w:noProof/>
        </w:rPr>
        <w:tab/>
        <w:t xml:space="preserve">Predmet kúpnej zmluvy sa zaväzuje predávajúci dodať kupujúcemu najneskôr </w:t>
      </w:r>
      <w:r w:rsidRPr="00C00352">
        <w:rPr>
          <w:rFonts w:ascii="Candara" w:hAnsi="Candara" w:cstheme="minorHAnsi"/>
        </w:rPr>
        <w:t xml:space="preserve">do </w:t>
      </w:r>
      <w:r w:rsidR="00377F4A" w:rsidRPr="00C00352">
        <w:rPr>
          <w:rFonts w:ascii="Candara" w:hAnsi="Candara" w:cstheme="minorHAnsi"/>
        </w:rPr>
        <w:t>12</w:t>
      </w:r>
      <w:r w:rsidRPr="00C00352">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C00352">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lastRenderedPageBreak/>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40EE8B29"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 xml:space="preserve">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w:t>
      </w:r>
      <w:r w:rsidR="003E4932">
        <w:rPr>
          <w:rFonts w:ascii="Candara" w:hAnsi="Candara" w:cstheme="minorHAnsi"/>
          <w:noProof/>
        </w:rPr>
        <w:t>Predávajúcemu</w:t>
      </w:r>
      <w:r w:rsidRPr="009E4C59">
        <w:rPr>
          <w:rFonts w:ascii="Candara" w:hAnsi="Candara" w:cs="Calibri"/>
        </w:rPr>
        <w:t xml:space="preserve">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1A060AFD" w14:textId="77777777" w:rsidR="008B4397" w:rsidRPr="003557F8" w:rsidRDefault="008B4397" w:rsidP="008B4397">
      <w:pPr>
        <w:numPr>
          <w:ilvl w:val="1"/>
          <w:numId w:val="15"/>
        </w:numPr>
        <w:tabs>
          <w:tab w:val="left" w:pos="540"/>
        </w:tabs>
        <w:jc w:val="both"/>
        <w:rPr>
          <w:rFonts w:ascii="Candara" w:hAnsi="Candara" w:cstheme="minorHAnsi"/>
          <w:bCs/>
          <w:noProof/>
          <w:color w:val="000000" w:themeColor="text1"/>
        </w:rPr>
      </w:pPr>
      <w:r>
        <w:rPr>
          <w:rFonts w:ascii="Candara" w:hAnsi="Candara" w:cstheme="minorHAnsi"/>
          <w:noProof/>
          <w:color w:val="000000" w:themeColor="text1"/>
        </w:rPr>
        <w:t xml:space="preserve">V </w:t>
      </w:r>
      <w:r w:rsidRPr="00456B6D">
        <w:rPr>
          <w:rFonts w:ascii="Candara" w:hAnsi="Candara" w:cstheme="minorHAnsi"/>
          <w:noProof/>
          <w:color w:val="000000" w:themeColor="text1"/>
        </w:rPr>
        <w:t>Prípade ak</w:t>
      </w:r>
      <w:r>
        <w:rPr>
          <w:rFonts w:ascii="Candara" w:hAnsi="Candara" w:cstheme="minorHAnsi"/>
          <w:noProof/>
          <w:color w:val="000000" w:themeColor="text1"/>
        </w:rPr>
        <w:t xml:space="preserve"> sa</w:t>
      </w:r>
      <w:r w:rsidRPr="00456B6D">
        <w:rPr>
          <w:rFonts w:ascii="Candara" w:hAnsi="Candara" w:cstheme="minorHAnsi"/>
          <w:noProof/>
          <w:color w:val="000000" w:themeColor="text1"/>
        </w:rPr>
        <w:t xml:space="preserve">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w:t>
      </w:r>
      <w:r>
        <w:rPr>
          <w:rFonts w:ascii="Candara" w:hAnsi="Candara" w:cstheme="minorHAnsi"/>
          <w:noProof/>
          <w:color w:val="000000" w:themeColor="text1"/>
        </w:rPr>
        <w:t>25</w:t>
      </w:r>
      <w:r w:rsidRPr="00456B6D">
        <w:rPr>
          <w:rFonts w:ascii="Candara" w:hAnsi="Candara" w:cstheme="minorHAnsi"/>
          <w:noProof/>
          <w:color w:val="000000" w:themeColor="text1"/>
        </w:rPr>
        <w:t xml:space="preserve"> % z kúpnej ceny uvedenej v Článku IV., bod 4.1. Zaplatenie zmluvnej pokuty nemá vplyv na event. náhradu škody, vzniknutej v priamej súvislosti s omeškaním Predávajúceho.</w:t>
      </w:r>
      <w:r>
        <w:rPr>
          <w:rFonts w:ascii="Candara" w:hAnsi="Candara" w:cstheme="minorHAnsi"/>
          <w:noProof/>
          <w:color w:val="000000" w:themeColor="text1"/>
        </w:rPr>
        <w:t xml:space="preserve"> Za omeškanie predávajúceho s dodaním predmetu kúpy sa nepovažuje, ak omeškanie predávajúceho nastalo nezávisle od vôle predávajúceho, napr. vyššia moc, omeškanie dodania na strane tretej osoby.</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32F8D99D" w14:textId="6A08D75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 xml:space="preserve">Záručná doba na predmet kúpy, resp. časť predmetu kúpy je </w:t>
      </w:r>
      <w:r w:rsidR="00C00352">
        <w:rPr>
          <w:rFonts w:ascii="Candara" w:hAnsi="Candara" w:cstheme="minorHAnsi"/>
          <w:noProof/>
        </w:rPr>
        <w:t>24</w:t>
      </w:r>
      <w:r w:rsidRPr="009E4C59">
        <w:rPr>
          <w:rFonts w:ascii="Candara" w:hAnsi="Candara" w:cstheme="minorHAnsi"/>
          <w:noProof/>
        </w:rPr>
        <w:t xml:space="preserve">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w:t>
      </w:r>
      <w:r w:rsidRPr="009E4C59">
        <w:rPr>
          <w:rFonts w:ascii="Candara" w:hAnsi="Candara" w:cstheme="minorHAnsi"/>
          <w:noProof/>
        </w:rPr>
        <w:lastRenderedPageBreak/>
        <w:t xml:space="preserve">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535AD349" w14:textId="001C9A8D" w:rsidR="00E42BC6" w:rsidRPr="009E4C59" w:rsidRDefault="003E4932" w:rsidP="00E42BC6">
      <w:pPr>
        <w:pStyle w:val="Odsekzoznamu"/>
        <w:numPr>
          <w:ilvl w:val="1"/>
          <w:numId w:val="21"/>
        </w:numPr>
        <w:jc w:val="both"/>
        <w:rPr>
          <w:rFonts w:ascii="Candara" w:hAnsi="Candara" w:cstheme="minorHAnsi"/>
          <w:noProof/>
        </w:rPr>
      </w:pPr>
      <w:r>
        <w:rPr>
          <w:rFonts w:ascii="Candara" w:hAnsi="Candara" w:cstheme="minorHAnsi"/>
          <w:noProof/>
        </w:rPr>
        <w:t>Predávajúci</w:t>
      </w:r>
      <w:r w:rsidR="00E42BC6" w:rsidRPr="009E4C59">
        <w:rPr>
          <w:rFonts w:ascii="Candara" w:hAnsi="Candara" w:cstheme="minorHAnsi"/>
          <w:noProof/>
        </w:rPr>
        <w:t xml:space="preserve">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E42BC6">
        <w:rPr>
          <w:rFonts w:ascii="Candara" w:hAnsi="Candara" w:cstheme="minorHAnsi"/>
          <w:noProof/>
        </w:rPr>
        <w:t>3</w:t>
      </w:r>
      <w:r w:rsidR="00E42BC6" w:rsidRPr="009E4C59">
        <w:rPr>
          <w:rFonts w:ascii="Candara" w:hAnsi="Candara" w:cstheme="minorHAnsi"/>
          <w:noProof/>
        </w:rPr>
        <w:t xml:space="preserve"> tejto Zmluvy. Subdodávatelia uvedení </w:t>
      </w:r>
      <w:r w:rsidR="00E42BC6" w:rsidRPr="009E4C59">
        <w:rPr>
          <w:rFonts w:ascii="Candara" w:hAnsi="Candara" w:cstheme="minorHAnsi"/>
          <w:noProof/>
        </w:rPr>
        <w:lastRenderedPageBreak/>
        <w:t xml:space="preserve">v Zozname subdodávateľov musia spĺňať podmienky podľa </w:t>
      </w:r>
      <w:r w:rsidR="00E42BC6" w:rsidRPr="003E6D3C">
        <w:rPr>
          <w:rFonts w:ascii="Candara" w:hAnsi="Candara" w:cstheme="minorHAnsi"/>
          <w:noProof/>
        </w:rPr>
        <w:t xml:space="preserve">§ 32 ods. 1 písm. e) </w:t>
      </w:r>
      <w:r w:rsidR="00E42BC6" w:rsidRPr="009E4C59">
        <w:rPr>
          <w:rFonts w:ascii="Candara" w:hAnsi="Candara" w:cstheme="minorHAnsi"/>
          <w:noProof/>
        </w:rPr>
        <w:t xml:space="preserve">zákona č. 343/2015 Z. z. o verejnom obstarávaní a o zmene a doplnení niektorých (ďalej len Zákon o VO). Doklady preukazujúce splnenie </w:t>
      </w:r>
      <w:r w:rsidR="00E42BC6" w:rsidRPr="003E6D3C">
        <w:rPr>
          <w:rFonts w:ascii="Candara" w:hAnsi="Candara" w:cstheme="minorHAnsi"/>
          <w:noProof/>
        </w:rPr>
        <w:t xml:space="preserve">§ 32 ods. 1 písm. e) </w:t>
      </w:r>
      <w:r w:rsidR="00E42BC6" w:rsidRPr="009E4C59">
        <w:rPr>
          <w:rFonts w:ascii="Candara" w:hAnsi="Candara" w:cstheme="minorHAnsi"/>
          <w:noProof/>
        </w:rPr>
        <w:t xml:space="preserve">Zákona o VO subdodávateľmi </w:t>
      </w:r>
      <w:r>
        <w:rPr>
          <w:rFonts w:ascii="Candara" w:hAnsi="Candara" w:cstheme="minorHAnsi"/>
          <w:noProof/>
        </w:rPr>
        <w:t>Predávajúci</w:t>
      </w:r>
      <w:r w:rsidR="00E42BC6" w:rsidRPr="009E4C59">
        <w:rPr>
          <w:rFonts w:ascii="Candara" w:hAnsi="Candara" w:cstheme="minorHAnsi"/>
          <w:noProof/>
        </w:rPr>
        <w:t xml:space="preserve"> predloží ako prílohu Zoznamu subdodávateľov.</w:t>
      </w:r>
    </w:p>
    <w:p w14:paraId="5E688C08" w14:textId="7B648154" w:rsidR="00E42BC6" w:rsidRPr="009E4C59" w:rsidRDefault="003E4932" w:rsidP="00E42BC6">
      <w:pPr>
        <w:pStyle w:val="Odsekzoznamu"/>
        <w:numPr>
          <w:ilvl w:val="1"/>
          <w:numId w:val="21"/>
        </w:numPr>
        <w:jc w:val="both"/>
        <w:rPr>
          <w:rFonts w:ascii="Candara" w:hAnsi="Candara" w:cstheme="minorHAnsi"/>
          <w:noProof/>
        </w:rPr>
      </w:pPr>
      <w:r>
        <w:rPr>
          <w:rFonts w:ascii="Candara" w:hAnsi="Candara" w:cstheme="minorHAnsi"/>
          <w:noProof/>
        </w:rPr>
        <w:t>Predávajúci</w:t>
      </w:r>
      <w:r w:rsidR="00E42BC6" w:rsidRPr="009E4C59">
        <w:rPr>
          <w:rFonts w:ascii="Candara" w:hAnsi="Candara" w:cstheme="minorHAnsi"/>
          <w:noProof/>
        </w:rPr>
        <w:t xml:space="preserve"> je zároveň povinný do piatich pracovných dní odo dňa uzatvorenia zmluvy s novým  subdodávateľom predložiť Objednávateľovi aktualizované znenie Prílohy č. 2 tejto Zmluvy. </w:t>
      </w:r>
      <w:r>
        <w:rPr>
          <w:rFonts w:ascii="Candara" w:hAnsi="Candara" w:cstheme="minorHAnsi"/>
          <w:noProof/>
        </w:rPr>
        <w:t>Predávajúci</w:t>
      </w:r>
      <w:r w:rsidRPr="009E4C59">
        <w:rPr>
          <w:rFonts w:ascii="Candara" w:hAnsi="Candara" w:cstheme="minorHAnsi"/>
          <w:noProof/>
        </w:rPr>
        <w:t xml:space="preserve"> </w:t>
      </w:r>
      <w:r w:rsidR="00E42BC6" w:rsidRPr="009E4C59">
        <w:rPr>
          <w:rFonts w:ascii="Candara" w:hAnsi="Candara" w:cstheme="minorHAnsi"/>
          <w:noProof/>
        </w:rPr>
        <w:t xml:space="preserve">zároveň predloží Objednávateľovi doklady preukazujúce splnenie podmienky podľa </w:t>
      </w:r>
      <w:r w:rsidR="00E42BC6" w:rsidRPr="003E6D3C">
        <w:rPr>
          <w:rFonts w:ascii="Candara" w:hAnsi="Candara" w:cstheme="minorHAnsi"/>
          <w:noProof/>
        </w:rPr>
        <w:t xml:space="preserve">§ 32 ods. 1 písm. e) </w:t>
      </w:r>
      <w:r w:rsidR="00E42BC6" w:rsidRPr="009E4C59">
        <w:rPr>
          <w:rFonts w:ascii="Candara" w:hAnsi="Candara" w:cstheme="minorHAnsi"/>
          <w:noProof/>
        </w:rPr>
        <w:t xml:space="preserve">Zákona o VO za tohto nového subdodávateľa. V prípade, že subdodávateľ nebude spĺňať podmienky podľa </w:t>
      </w:r>
      <w:r w:rsidR="00E42BC6" w:rsidRPr="003E6D3C">
        <w:rPr>
          <w:rFonts w:ascii="Candara" w:hAnsi="Candara" w:cstheme="minorHAnsi"/>
          <w:noProof/>
        </w:rPr>
        <w:t xml:space="preserve">§ 32 ods. 1 písm. e) </w:t>
      </w:r>
      <w:r w:rsidR="00E42BC6" w:rsidRPr="009E4C59">
        <w:rPr>
          <w:rFonts w:ascii="Candara" w:hAnsi="Candara" w:cstheme="minorHAnsi"/>
          <w:noProof/>
        </w:rPr>
        <w:t xml:space="preserve">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4BFC67DD" w14:textId="1B6B112D" w:rsidR="00791896" w:rsidRDefault="009E4C59" w:rsidP="00791896">
      <w:pPr>
        <w:spacing w:line="240" w:lineRule="atLeast"/>
        <w:ind w:left="540" w:hanging="540"/>
        <w:jc w:val="both"/>
        <w:rPr>
          <w:b/>
          <w:bCs/>
          <w:i/>
          <w:iCs/>
          <w:color w:val="FF0000"/>
        </w:rPr>
      </w:pPr>
      <w:r w:rsidRPr="009E4C59">
        <w:rPr>
          <w:rFonts w:ascii="Candara" w:hAnsi="Candara" w:cstheme="minorHAnsi"/>
          <w:noProof/>
        </w:rPr>
        <w:t>13.4.</w:t>
      </w:r>
      <w:r w:rsidRPr="009E4C59">
        <w:rPr>
          <w:rFonts w:ascii="Candara" w:hAnsi="Candara" w:cstheme="minorHAnsi"/>
          <w:noProof/>
        </w:rPr>
        <w:tab/>
      </w:r>
      <w:bookmarkStart w:id="0" w:name="_Hlk106869066"/>
      <w:r w:rsidR="00791896">
        <w:rPr>
          <w:rFonts w:ascii="Candara" w:hAnsi="Candara" w:cstheme="minorHAnsi"/>
          <w:noProof/>
        </w:rPr>
        <w:t xml:space="preserve">    </w:t>
      </w:r>
      <w:r w:rsidR="00791896" w:rsidRPr="00791896">
        <w:rPr>
          <w:rFonts w:ascii="Candara" w:hAnsi="Candara" w:cstheme="minorHAnsi"/>
          <w:noProof/>
        </w:rPr>
        <w:t>Zmluva nadobúda účinnosť po kumulatívnom splnení nasledovných podmienok:</w:t>
      </w:r>
    </w:p>
    <w:p w14:paraId="2D2957F6" w14:textId="3662EA2C"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o schválení NFP,</w:t>
      </w:r>
    </w:p>
    <w:p w14:paraId="26204791" w14:textId="69AD2D17"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z kontroly verejného obstarávania, v ktorej sa výdavky vzniknuté na základe tejto zmluvy pripúšťajú na financovanie,</w:t>
      </w:r>
    </w:p>
    <w:p w14:paraId="3F665F4A" w14:textId="34169805"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zverejnenia tejto zmluvy v zmysle zákona č. 211/2000 Z. z. o slobodnom prístupe k informáciám.</w:t>
      </w:r>
    </w:p>
    <w:bookmarkEnd w:id="0"/>
    <w:p w14:paraId="6E03284F" w14:textId="55627D03" w:rsidR="009E4C59" w:rsidRPr="009E4C59" w:rsidRDefault="009E4C59" w:rsidP="00791896">
      <w:pPr>
        <w:ind w:left="709" w:hanging="709"/>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64D20522" w14:textId="77777777" w:rsidR="00FF3333" w:rsidRPr="009E4C59" w:rsidRDefault="009E4C59" w:rsidP="00FF3333">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FF3333" w:rsidRPr="009E4C59">
        <w:rPr>
          <w:rFonts w:ascii="Candara" w:hAnsi="Candara" w:cstheme="minorHAnsi"/>
          <w:noProof/>
        </w:rPr>
        <w:t>„</w:t>
      </w:r>
      <w:r w:rsidR="00FF3333" w:rsidRPr="00CD18A9">
        <w:rPr>
          <w:rFonts w:ascii="Candara" w:hAnsi="Candara" w:cstheme="minorHAnsi"/>
          <w:noProof/>
        </w:rPr>
        <w:t>Zberný dvor Šútovce</w:t>
      </w:r>
      <w:r w:rsidR="00FF3333" w:rsidRPr="009E4C59">
        <w:rPr>
          <w:rFonts w:ascii="Candara" w:hAnsi="Candara" w:cstheme="minorHAnsi"/>
          <w:noProof/>
        </w:rPr>
        <w:t>”</w:t>
      </w:r>
      <w:r w:rsidR="00FF3333" w:rsidRPr="009E4C59">
        <w:rPr>
          <w:rFonts w:ascii="Candara" w:hAnsi="Candara" w:cstheme="minorHAnsi"/>
          <w:i/>
        </w:rPr>
        <w:t>.</w:t>
      </w:r>
    </w:p>
    <w:p w14:paraId="7CD2CC3D" w14:textId="681BE0B6"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lastRenderedPageBreak/>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W w:w="10820" w:type="dxa"/>
        <w:tblCellMar>
          <w:left w:w="70" w:type="dxa"/>
          <w:right w:w="70" w:type="dxa"/>
        </w:tblCellMar>
        <w:tblLook w:val="04A0" w:firstRow="1" w:lastRow="0" w:firstColumn="1" w:lastColumn="0" w:noHBand="0" w:noVBand="1"/>
      </w:tblPr>
      <w:tblGrid>
        <w:gridCol w:w="146"/>
        <w:gridCol w:w="5474"/>
        <w:gridCol w:w="1300"/>
        <w:gridCol w:w="1300"/>
        <w:gridCol w:w="1300"/>
        <w:gridCol w:w="1300"/>
      </w:tblGrid>
      <w:tr w:rsidR="00AD01F0" w14:paraId="5889ECED" w14:textId="77777777" w:rsidTr="00AD01F0">
        <w:trPr>
          <w:trHeight w:val="320"/>
        </w:trPr>
        <w:tc>
          <w:tcPr>
            <w:tcW w:w="5620" w:type="dxa"/>
            <w:gridSpan w:val="2"/>
            <w:tcBorders>
              <w:top w:val="nil"/>
              <w:left w:val="nil"/>
              <w:bottom w:val="nil"/>
              <w:right w:val="nil"/>
            </w:tcBorders>
            <w:shd w:val="clear" w:color="auto" w:fill="auto"/>
            <w:noWrap/>
            <w:vAlign w:val="bottom"/>
            <w:hideMark/>
          </w:tcPr>
          <w:p w14:paraId="7CA98F03" w14:textId="77777777" w:rsidR="00AD01F0" w:rsidRDefault="00AD01F0">
            <w:pPr>
              <w:rPr>
                <w:rFonts w:ascii="Calibri" w:hAnsi="Calibri" w:cs="Calibri"/>
                <w:color w:val="000000"/>
              </w:rPr>
            </w:pPr>
            <w:r>
              <w:rPr>
                <w:rFonts w:ascii="Calibri" w:hAnsi="Calibri" w:cs="Calibri"/>
                <w:color w:val="000000"/>
              </w:rPr>
              <w:t xml:space="preserve">Časť 2: Čelný nakladač s príslušenstvom </w:t>
            </w:r>
          </w:p>
        </w:tc>
        <w:tc>
          <w:tcPr>
            <w:tcW w:w="1300" w:type="dxa"/>
            <w:tcBorders>
              <w:top w:val="nil"/>
              <w:left w:val="nil"/>
              <w:bottom w:val="nil"/>
              <w:right w:val="nil"/>
            </w:tcBorders>
            <w:shd w:val="clear" w:color="auto" w:fill="auto"/>
            <w:noWrap/>
            <w:vAlign w:val="bottom"/>
            <w:hideMark/>
          </w:tcPr>
          <w:p w14:paraId="0FE05942" w14:textId="77777777" w:rsidR="00AD01F0" w:rsidRDefault="00AD01F0">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2CCCF37F" w14:textId="77777777" w:rsidR="00AD01F0" w:rsidRDefault="00AD01F0">
            <w:pPr>
              <w:rPr>
                <w:sz w:val="20"/>
                <w:szCs w:val="20"/>
              </w:rPr>
            </w:pPr>
          </w:p>
        </w:tc>
        <w:tc>
          <w:tcPr>
            <w:tcW w:w="1300" w:type="dxa"/>
            <w:tcBorders>
              <w:top w:val="nil"/>
              <w:left w:val="nil"/>
              <w:bottom w:val="nil"/>
              <w:right w:val="nil"/>
            </w:tcBorders>
            <w:shd w:val="clear" w:color="auto" w:fill="auto"/>
            <w:noWrap/>
            <w:vAlign w:val="bottom"/>
            <w:hideMark/>
          </w:tcPr>
          <w:p w14:paraId="4DA623A8" w14:textId="77777777" w:rsidR="00AD01F0" w:rsidRDefault="00AD01F0">
            <w:pPr>
              <w:rPr>
                <w:sz w:val="20"/>
                <w:szCs w:val="20"/>
              </w:rPr>
            </w:pPr>
          </w:p>
        </w:tc>
        <w:tc>
          <w:tcPr>
            <w:tcW w:w="1300" w:type="dxa"/>
            <w:tcBorders>
              <w:top w:val="nil"/>
              <w:left w:val="nil"/>
              <w:bottom w:val="nil"/>
              <w:right w:val="nil"/>
            </w:tcBorders>
            <w:shd w:val="clear" w:color="auto" w:fill="auto"/>
            <w:noWrap/>
            <w:vAlign w:val="bottom"/>
            <w:hideMark/>
          </w:tcPr>
          <w:p w14:paraId="79B2B9AC" w14:textId="77777777" w:rsidR="00AD01F0" w:rsidRDefault="00AD01F0">
            <w:pPr>
              <w:rPr>
                <w:sz w:val="20"/>
                <w:szCs w:val="20"/>
              </w:rPr>
            </w:pPr>
          </w:p>
        </w:tc>
      </w:tr>
      <w:tr w:rsidR="00AD01F0" w14:paraId="6263C1DF" w14:textId="77777777" w:rsidTr="00AD01F0">
        <w:trPr>
          <w:trHeight w:val="320"/>
        </w:trPr>
        <w:tc>
          <w:tcPr>
            <w:tcW w:w="73" w:type="dxa"/>
            <w:tcBorders>
              <w:top w:val="nil"/>
              <w:left w:val="nil"/>
              <w:bottom w:val="nil"/>
              <w:right w:val="nil"/>
            </w:tcBorders>
            <w:shd w:val="clear" w:color="auto" w:fill="auto"/>
            <w:noWrap/>
            <w:vAlign w:val="bottom"/>
            <w:hideMark/>
          </w:tcPr>
          <w:p w14:paraId="3E531A3D" w14:textId="77777777" w:rsidR="00AD01F0" w:rsidRDefault="00AD01F0">
            <w:pPr>
              <w:rPr>
                <w:sz w:val="20"/>
                <w:szCs w:val="20"/>
              </w:rPr>
            </w:pPr>
          </w:p>
        </w:tc>
        <w:tc>
          <w:tcPr>
            <w:tcW w:w="10747" w:type="dxa"/>
            <w:gridSpan w:val="5"/>
            <w:tcBorders>
              <w:top w:val="single" w:sz="4" w:space="0" w:color="000000"/>
              <w:left w:val="single" w:sz="4" w:space="0" w:color="000000"/>
              <w:bottom w:val="single" w:sz="4" w:space="0" w:color="000000"/>
              <w:right w:val="single" w:sz="4" w:space="0" w:color="000000"/>
            </w:tcBorders>
            <w:shd w:val="clear" w:color="000000" w:fill="D2D2D2"/>
            <w:hideMark/>
          </w:tcPr>
          <w:p w14:paraId="15225D58"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Funkcia</w:t>
            </w:r>
          </w:p>
        </w:tc>
      </w:tr>
      <w:tr w:rsidR="00AD01F0" w14:paraId="4A1043D1" w14:textId="77777777" w:rsidTr="00AD01F0">
        <w:trPr>
          <w:trHeight w:val="320"/>
        </w:trPr>
        <w:tc>
          <w:tcPr>
            <w:tcW w:w="73" w:type="dxa"/>
            <w:tcBorders>
              <w:top w:val="nil"/>
              <w:left w:val="nil"/>
              <w:bottom w:val="nil"/>
              <w:right w:val="nil"/>
            </w:tcBorders>
            <w:shd w:val="clear" w:color="auto" w:fill="auto"/>
            <w:noWrap/>
            <w:vAlign w:val="bottom"/>
            <w:hideMark/>
          </w:tcPr>
          <w:p w14:paraId="28117E1A" w14:textId="77777777" w:rsidR="00AD01F0" w:rsidRDefault="00AD01F0">
            <w:pPr>
              <w:rPr>
                <w:rFonts w:ascii="Microsoft Sans Serif" w:hAnsi="Microsoft Sans Serif" w:cs="Microsoft Sans Serif"/>
                <w:b/>
                <w:bCs/>
                <w:sz w:val="18"/>
                <w:szCs w:val="18"/>
              </w:rPr>
            </w:pPr>
          </w:p>
        </w:tc>
        <w:tc>
          <w:tcPr>
            <w:tcW w:w="10747"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21F691D"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Čelný nakladač s príslušenstvom</w:t>
            </w:r>
          </w:p>
        </w:tc>
      </w:tr>
      <w:tr w:rsidR="00AD01F0" w14:paraId="0142AB5B" w14:textId="77777777" w:rsidTr="00AD01F0">
        <w:trPr>
          <w:trHeight w:val="320"/>
        </w:trPr>
        <w:tc>
          <w:tcPr>
            <w:tcW w:w="73" w:type="dxa"/>
            <w:tcBorders>
              <w:top w:val="nil"/>
              <w:left w:val="nil"/>
              <w:bottom w:val="nil"/>
              <w:right w:val="nil"/>
            </w:tcBorders>
            <w:shd w:val="clear" w:color="auto" w:fill="auto"/>
            <w:noWrap/>
            <w:vAlign w:val="bottom"/>
            <w:hideMark/>
          </w:tcPr>
          <w:p w14:paraId="6D06914C" w14:textId="77777777" w:rsidR="00AD01F0" w:rsidRDefault="00AD01F0">
            <w:pPr>
              <w:rPr>
                <w:rFonts w:ascii="Microsoft Sans Serif" w:hAnsi="Microsoft Sans Serif" w:cs="Microsoft Sans Serif"/>
                <w:sz w:val="18"/>
                <w:szCs w:val="18"/>
              </w:rPr>
            </w:pPr>
          </w:p>
        </w:tc>
        <w:tc>
          <w:tcPr>
            <w:tcW w:w="5547" w:type="dxa"/>
            <w:tcBorders>
              <w:top w:val="nil"/>
              <w:left w:val="single" w:sz="4" w:space="0" w:color="000000"/>
              <w:bottom w:val="single" w:sz="4" w:space="0" w:color="000000"/>
              <w:right w:val="single" w:sz="4" w:space="0" w:color="000000"/>
            </w:tcBorders>
            <w:shd w:val="clear" w:color="000000" w:fill="D2D2D2"/>
            <w:hideMark/>
          </w:tcPr>
          <w:p w14:paraId="300111C9"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Technické vlastnosti</w:t>
            </w:r>
          </w:p>
        </w:tc>
        <w:tc>
          <w:tcPr>
            <w:tcW w:w="1300" w:type="dxa"/>
            <w:tcBorders>
              <w:top w:val="nil"/>
              <w:left w:val="nil"/>
              <w:bottom w:val="single" w:sz="4" w:space="0" w:color="000000"/>
              <w:right w:val="single" w:sz="4" w:space="0" w:color="000000"/>
            </w:tcBorders>
            <w:shd w:val="clear" w:color="000000" w:fill="D2D2D2"/>
            <w:hideMark/>
          </w:tcPr>
          <w:p w14:paraId="34142B8E"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Jednotka</w:t>
            </w:r>
          </w:p>
        </w:tc>
        <w:tc>
          <w:tcPr>
            <w:tcW w:w="1300" w:type="dxa"/>
            <w:tcBorders>
              <w:top w:val="nil"/>
              <w:left w:val="nil"/>
              <w:bottom w:val="single" w:sz="4" w:space="0" w:color="000000"/>
              <w:right w:val="single" w:sz="4" w:space="0" w:color="000000"/>
            </w:tcBorders>
            <w:shd w:val="clear" w:color="000000" w:fill="D2D2D2"/>
            <w:hideMark/>
          </w:tcPr>
          <w:p w14:paraId="04D7B0C5"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Minimum</w:t>
            </w:r>
          </w:p>
        </w:tc>
        <w:tc>
          <w:tcPr>
            <w:tcW w:w="1300" w:type="dxa"/>
            <w:tcBorders>
              <w:top w:val="nil"/>
              <w:left w:val="nil"/>
              <w:bottom w:val="single" w:sz="4" w:space="0" w:color="000000"/>
              <w:right w:val="single" w:sz="4" w:space="0" w:color="000000"/>
            </w:tcBorders>
            <w:shd w:val="clear" w:color="000000" w:fill="D2D2D2"/>
            <w:hideMark/>
          </w:tcPr>
          <w:p w14:paraId="61A5224C"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Maximum</w:t>
            </w:r>
          </w:p>
        </w:tc>
        <w:tc>
          <w:tcPr>
            <w:tcW w:w="1300" w:type="dxa"/>
            <w:tcBorders>
              <w:top w:val="nil"/>
              <w:left w:val="nil"/>
              <w:bottom w:val="single" w:sz="4" w:space="0" w:color="000000"/>
              <w:right w:val="single" w:sz="4" w:space="0" w:color="000000"/>
            </w:tcBorders>
            <w:shd w:val="clear" w:color="000000" w:fill="D2D2D2"/>
            <w:hideMark/>
          </w:tcPr>
          <w:p w14:paraId="1721A84F"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Presne</w:t>
            </w:r>
          </w:p>
        </w:tc>
      </w:tr>
      <w:tr w:rsidR="00AD01F0" w14:paraId="52F76A74" w14:textId="77777777" w:rsidTr="00AD01F0">
        <w:trPr>
          <w:trHeight w:val="320"/>
        </w:trPr>
        <w:tc>
          <w:tcPr>
            <w:tcW w:w="73" w:type="dxa"/>
            <w:tcBorders>
              <w:top w:val="nil"/>
              <w:left w:val="nil"/>
              <w:bottom w:val="nil"/>
              <w:right w:val="nil"/>
            </w:tcBorders>
            <w:shd w:val="clear" w:color="auto" w:fill="auto"/>
            <w:noWrap/>
            <w:vAlign w:val="bottom"/>
            <w:hideMark/>
          </w:tcPr>
          <w:p w14:paraId="75B46E90" w14:textId="77777777" w:rsidR="00AD01F0" w:rsidRDefault="00AD01F0">
            <w:pPr>
              <w:rPr>
                <w:rFonts w:ascii="Microsoft Sans Serif" w:hAnsi="Microsoft Sans Serif" w:cs="Microsoft Sans Serif"/>
                <w:b/>
                <w:bCs/>
                <w:sz w:val="18"/>
                <w:szCs w:val="18"/>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26028679"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počet</w:t>
            </w:r>
          </w:p>
        </w:tc>
        <w:tc>
          <w:tcPr>
            <w:tcW w:w="1300" w:type="dxa"/>
            <w:tcBorders>
              <w:top w:val="nil"/>
              <w:left w:val="nil"/>
              <w:bottom w:val="single" w:sz="4" w:space="0" w:color="000000"/>
              <w:right w:val="single" w:sz="4" w:space="0" w:color="000000"/>
            </w:tcBorders>
            <w:shd w:val="clear" w:color="auto" w:fill="auto"/>
            <w:hideMark/>
          </w:tcPr>
          <w:p w14:paraId="49ED8E39"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single" w:sz="4" w:space="0" w:color="000000"/>
              <w:right w:val="single" w:sz="4" w:space="0" w:color="000000"/>
            </w:tcBorders>
            <w:shd w:val="clear" w:color="auto" w:fill="auto"/>
            <w:vAlign w:val="bottom"/>
            <w:hideMark/>
          </w:tcPr>
          <w:p w14:paraId="3975F860"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noWrap/>
            <w:hideMark/>
          </w:tcPr>
          <w:p w14:paraId="7DC64247"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39E9A1F8"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D01F0" w14:paraId="57C9B473" w14:textId="77777777" w:rsidTr="00AD01F0">
        <w:trPr>
          <w:trHeight w:val="320"/>
        </w:trPr>
        <w:tc>
          <w:tcPr>
            <w:tcW w:w="73" w:type="dxa"/>
            <w:tcBorders>
              <w:top w:val="nil"/>
              <w:left w:val="nil"/>
              <w:bottom w:val="nil"/>
              <w:right w:val="nil"/>
            </w:tcBorders>
            <w:shd w:val="clear" w:color="auto" w:fill="auto"/>
            <w:noWrap/>
            <w:vAlign w:val="bottom"/>
            <w:hideMark/>
          </w:tcPr>
          <w:p w14:paraId="78BBC94A" w14:textId="77777777" w:rsidR="00AD01F0" w:rsidRDefault="00AD01F0">
            <w:pPr>
              <w:rPr>
                <w:rFonts w:ascii="Microsoft Sans Serif" w:hAnsi="Microsoft Sans Serif" w:cs="Microsoft Sans Serif"/>
                <w:color w:val="000000"/>
                <w:sz w:val="20"/>
                <w:szCs w:val="20"/>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57262453"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 xml:space="preserve">Výška zdvihu </w:t>
            </w:r>
          </w:p>
        </w:tc>
        <w:tc>
          <w:tcPr>
            <w:tcW w:w="1300" w:type="dxa"/>
            <w:tcBorders>
              <w:top w:val="nil"/>
              <w:left w:val="nil"/>
              <w:bottom w:val="single" w:sz="4" w:space="0" w:color="000000"/>
              <w:right w:val="single" w:sz="4" w:space="0" w:color="000000"/>
            </w:tcBorders>
            <w:shd w:val="clear" w:color="auto" w:fill="auto"/>
            <w:hideMark/>
          </w:tcPr>
          <w:p w14:paraId="6D4C7B83"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mm</w:t>
            </w:r>
          </w:p>
        </w:tc>
        <w:tc>
          <w:tcPr>
            <w:tcW w:w="1300" w:type="dxa"/>
            <w:tcBorders>
              <w:top w:val="nil"/>
              <w:left w:val="nil"/>
              <w:bottom w:val="single" w:sz="4" w:space="0" w:color="000000"/>
              <w:right w:val="single" w:sz="4" w:space="0" w:color="000000"/>
            </w:tcBorders>
            <w:shd w:val="clear" w:color="auto" w:fill="auto"/>
            <w:vAlign w:val="bottom"/>
            <w:hideMark/>
          </w:tcPr>
          <w:p w14:paraId="2A2B37FE"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3500</w:t>
            </w:r>
          </w:p>
        </w:tc>
        <w:tc>
          <w:tcPr>
            <w:tcW w:w="1300" w:type="dxa"/>
            <w:tcBorders>
              <w:top w:val="nil"/>
              <w:left w:val="nil"/>
              <w:bottom w:val="single" w:sz="4" w:space="0" w:color="000000"/>
              <w:right w:val="single" w:sz="4" w:space="0" w:color="000000"/>
            </w:tcBorders>
            <w:shd w:val="clear" w:color="auto" w:fill="auto"/>
            <w:noWrap/>
            <w:hideMark/>
          </w:tcPr>
          <w:p w14:paraId="570FD839"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15E6F174"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AD01F0" w14:paraId="32DCE16F" w14:textId="77777777" w:rsidTr="00AD01F0">
        <w:trPr>
          <w:trHeight w:val="320"/>
        </w:trPr>
        <w:tc>
          <w:tcPr>
            <w:tcW w:w="73" w:type="dxa"/>
            <w:tcBorders>
              <w:top w:val="nil"/>
              <w:left w:val="nil"/>
              <w:bottom w:val="nil"/>
              <w:right w:val="nil"/>
            </w:tcBorders>
            <w:shd w:val="clear" w:color="auto" w:fill="auto"/>
            <w:noWrap/>
            <w:vAlign w:val="bottom"/>
            <w:hideMark/>
          </w:tcPr>
          <w:p w14:paraId="701C7A4A" w14:textId="77777777" w:rsidR="00AD01F0" w:rsidRDefault="00AD01F0">
            <w:pPr>
              <w:rPr>
                <w:rFonts w:ascii="Microsoft Sans Serif" w:hAnsi="Microsoft Sans Serif" w:cs="Microsoft Sans Serif"/>
                <w:color w:val="000000"/>
                <w:sz w:val="20"/>
                <w:szCs w:val="20"/>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0F8C52E9"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Zdvíhacia nosnosť pri plnej výške zdvihu</w:t>
            </w:r>
          </w:p>
        </w:tc>
        <w:tc>
          <w:tcPr>
            <w:tcW w:w="1300" w:type="dxa"/>
            <w:tcBorders>
              <w:top w:val="nil"/>
              <w:left w:val="nil"/>
              <w:bottom w:val="single" w:sz="4" w:space="0" w:color="000000"/>
              <w:right w:val="single" w:sz="4" w:space="0" w:color="000000"/>
            </w:tcBorders>
            <w:shd w:val="clear" w:color="auto" w:fill="auto"/>
            <w:hideMark/>
          </w:tcPr>
          <w:p w14:paraId="15556906"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kg</w:t>
            </w:r>
          </w:p>
        </w:tc>
        <w:tc>
          <w:tcPr>
            <w:tcW w:w="1300" w:type="dxa"/>
            <w:tcBorders>
              <w:top w:val="nil"/>
              <w:left w:val="nil"/>
              <w:bottom w:val="single" w:sz="4" w:space="0" w:color="000000"/>
              <w:right w:val="single" w:sz="4" w:space="0" w:color="000000"/>
            </w:tcBorders>
            <w:shd w:val="clear" w:color="auto" w:fill="auto"/>
            <w:noWrap/>
            <w:hideMark/>
          </w:tcPr>
          <w:p w14:paraId="08AABD63"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1700</w:t>
            </w:r>
          </w:p>
        </w:tc>
        <w:tc>
          <w:tcPr>
            <w:tcW w:w="1300" w:type="dxa"/>
            <w:tcBorders>
              <w:top w:val="nil"/>
              <w:left w:val="nil"/>
              <w:bottom w:val="single" w:sz="4" w:space="0" w:color="000000"/>
              <w:right w:val="single" w:sz="4" w:space="0" w:color="000000"/>
            </w:tcBorders>
            <w:shd w:val="clear" w:color="auto" w:fill="auto"/>
            <w:vAlign w:val="bottom"/>
            <w:hideMark/>
          </w:tcPr>
          <w:p w14:paraId="193026E8"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hideMark/>
          </w:tcPr>
          <w:p w14:paraId="67513EA3"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AD01F0" w14:paraId="31237568" w14:textId="77777777" w:rsidTr="00AD01F0">
        <w:trPr>
          <w:trHeight w:val="320"/>
        </w:trPr>
        <w:tc>
          <w:tcPr>
            <w:tcW w:w="73" w:type="dxa"/>
            <w:tcBorders>
              <w:top w:val="nil"/>
              <w:left w:val="nil"/>
              <w:bottom w:val="nil"/>
              <w:right w:val="nil"/>
            </w:tcBorders>
            <w:shd w:val="clear" w:color="auto" w:fill="auto"/>
            <w:noWrap/>
            <w:vAlign w:val="bottom"/>
            <w:hideMark/>
          </w:tcPr>
          <w:p w14:paraId="5EC14094" w14:textId="77777777" w:rsidR="00AD01F0" w:rsidRDefault="00AD01F0">
            <w:pPr>
              <w:rPr>
                <w:rFonts w:ascii="Microsoft Sans Serif" w:hAnsi="Microsoft Sans Serif" w:cs="Microsoft Sans Serif"/>
                <w:color w:val="000000"/>
                <w:sz w:val="20"/>
                <w:szCs w:val="20"/>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36D76521"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Zdvíhacia nosnosť na úrovni do 1m</w:t>
            </w:r>
          </w:p>
        </w:tc>
        <w:tc>
          <w:tcPr>
            <w:tcW w:w="1300" w:type="dxa"/>
            <w:tcBorders>
              <w:top w:val="nil"/>
              <w:left w:val="nil"/>
              <w:bottom w:val="single" w:sz="4" w:space="0" w:color="000000"/>
              <w:right w:val="single" w:sz="4" w:space="0" w:color="000000"/>
            </w:tcBorders>
            <w:shd w:val="clear" w:color="auto" w:fill="auto"/>
            <w:hideMark/>
          </w:tcPr>
          <w:p w14:paraId="004F6408"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kg</w:t>
            </w:r>
          </w:p>
        </w:tc>
        <w:tc>
          <w:tcPr>
            <w:tcW w:w="1300" w:type="dxa"/>
            <w:tcBorders>
              <w:top w:val="nil"/>
              <w:left w:val="nil"/>
              <w:bottom w:val="single" w:sz="4" w:space="0" w:color="000000"/>
              <w:right w:val="single" w:sz="4" w:space="0" w:color="000000"/>
            </w:tcBorders>
            <w:shd w:val="clear" w:color="auto" w:fill="auto"/>
            <w:noWrap/>
            <w:hideMark/>
          </w:tcPr>
          <w:p w14:paraId="00BD2D80"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2000</w:t>
            </w:r>
          </w:p>
        </w:tc>
        <w:tc>
          <w:tcPr>
            <w:tcW w:w="1300" w:type="dxa"/>
            <w:tcBorders>
              <w:top w:val="nil"/>
              <w:left w:val="nil"/>
              <w:bottom w:val="single" w:sz="4" w:space="0" w:color="000000"/>
              <w:right w:val="single" w:sz="4" w:space="0" w:color="000000"/>
            </w:tcBorders>
            <w:shd w:val="clear" w:color="auto" w:fill="auto"/>
            <w:hideMark/>
          </w:tcPr>
          <w:p w14:paraId="74872984"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hideMark/>
          </w:tcPr>
          <w:p w14:paraId="0050A701"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AD01F0" w14:paraId="16886039" w14:textId="77777777" w:rsidTr="00AD01F0">
        <w:trPr>
          <w:trHeight w:val="320"/>
        </w:trPr>
        <w:tc>
          <w:tcPr>
            <w:tcW w:w="73" w:type="dxa"/>
            <w:tcBorders>
              <w:top w:val="nil"/>
              <w:left w:val="nil"/>
              <w:bottom w:val="nil"/>
              <w:right w:val="nil"/>
            </w:tcBorders>
            <w:shd w:val="clear" w:color="auto" w:fill="auto"/>
            <w:noWrap/>
            <w:vAlign w:val="bottom"/>
            <w:hideMark/>
          </w:tcPr>
          <w:p w14:paraId="385BD86C" w14:textId="77777777" w:rsidR="00AD01F0" w:rsidRDefault="00AD01F0">
            <w:pPr>
              <w:rPr>
                <w:rFonts w:ascii="Microsoft Sans Serif" w:hAnsi="Microsoft Sans Serif" w:cs="Microsoft Sans Serif"/>
                <w:color w:val="000000"/>
                <w:sz w:val="20"/>
                <w:szCs w:val="20"/>
              </w:rPr>
            </w:pPr>
          </w:p>
        </w:tc>
        <w:tc>
          <w:tcPr>
            <w:tcW w:w="5547" w:type="dxa"/>
            <w:tcBorders>
              <w:top w:val="nil"/>
              <w:left w:val="single" w:sz="4" w:space="0" w:color="000000"/>
              <w:bottom w:val="single" w:sz="4" w:space="0" w:color="000000"/>
              <w:right w:val="single" w:sz="4" w:space="0" w:color="000000"/>
            </w:tcBorders>
            <w:shd w:val="clear" w:color="000000" w:fill="D2D2D2"/>
            <w:hideMark/>
          </w:tcPr>
          <w:p w14:paraId="368A6D98"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Vybavenie</w:t>
            </w:r>
          </w:p>
        </w:tc>
        <w:tc>
          <w:tcPr>
            <w:tcW w:w="5200" w:type="dxa"/>
            <w:gridSpan w:val="4"/>
            <w:tcBorders>
              <w:top w:val="single" w:sz="4" w:space="0" w:color="000000"/>
              <w:left w:val="nil"/>
              <w:bottom w:val="single" w:sz="4" w:space="0" w:color="000000"/>
              <w:right w:val="single" w:sz="4" w:space="0" w:color="000000"/>
            </w:tcBorders>
            <w:shd w:val="clear" w:color="000000" w:fill="D2D2D2"/>
            <w:hideMark/>
          </w:tcPr>
          <w:p w14:paraId="779B2932"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Hodnota / charakteristika</w:t>
            </w:r>
          </w:p>
        </w:tc>
      </w:tr>
      <w:tr w:rsidR="00AD01F0" w14:paraId="3D513B25" w14:textId="77777777" w:rsidTr="00AD01F0">
        <w:trPr>
          <w:trHeight w:val="320"/>
        </w:trPr>
        <w:tc>
          <w:tcPr>
            <w:tcW w:w="73" w:type="dxa"/>
            <w:tcBorders>
              <w:top w:val="nil"/>
              <w:left w:val="nil"/>
              <w:bottom w:val="nil"/>
              <w:right w:val="nil"/>
            </w:tcBorders>
            <w:shd w:val="clear" w:color="auto" w:fill="auto"/>
            <w:noWrap/>
            <w:vAlign w:val="bottom"/>
            <w:hideMark/>
          </w:tcPr>
          <w:p w14:paraId="08E02455" w14:textId="77777777" w:rsidR="00AD01F0" w:rsidRDefault="00AD01F0">
            <w:pPr>
              <w:rPr>
                <w:rFonts w:ascii="Microsoft Sans Serif" w:hAnsi="Microsoft Sans Serif" w:cs="Microsoft Sans Serif"/>
                <w:b/>
                <w:bCs/>
                <w:sz w:val="18"/>
                <w:szCs w:val="18"/>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19DE7825" w14:textId="77777777" w:rsidR="00AD01F0" w:rsidRDefault="00AD01F0">
            <w:pPr>
              <w:rPr>
                <w:rFonts w:ascii="Microsoft Sans Serif" w:hAnsi="Microsoft Sans Serif" w:cs="Microsoft Sans Serif"/>
                <w:sz w:val="18"/>
                <w:szCs w:val="18"/>
              </w:rPr>
            </w:pPr>
            <w:proofErr w:type="spellStart"/>
            <w:r>
              <w:rPr>
                <w:rFonts w:ascii="Microsoft Sans Serif" w:hAnsi="Microsoft Sans Serif" w:cs="Microsoft Sans Serif"/>
                <w:sz w:val="18"/>
                <w:szCs w:val="18"/>
              </w:rPr>
              <w:t>Opruženie</w:t>
            </w:r>
            <w:proofErr w:type="spellEnd"/>
            <w:r>
              <w:rPr>
                <w:rFonts w:ascii="Microsoft Sans Serif" w:hAnsi="Microsoft Sans Serif" w:cs="Microsoft Sans Serif"/>
                <w:sz w:val="18"/>
                <w:szCs w:val="18"/>
              </w:rPr>
              <w:t xml:space="preserve"> nakladača pri jazde</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06B3DDD0"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AD01F0" w14:paraId="67288BF4" w14:textId="77777777" w:rsidTr="00AD01F0">
        <w:trPr>
          <w:trHeight w:val="320"/>
        </w:trPr>
        <w:tc>
          <w:tcPr>
            <w:tcW w:w="73" w:type="dxa"/>
            <w:tcBorders>
              <w:top w:val="nil"/>
              <w:left w:val="nil"/>
              <w:bottom w:val="nil"/>
              <w:right w:val="nil"/>
            </w:tcBorders>
            <w:shd w:val="clear" w:color="auto" w:fill="auto"/>
            <w:noWrap/>
            <w:vAlign w:val="bottom"/>
            <w:hideMark/>
          </w:tcPr>
          <w:p w14:paraId="7056D853" w14:textId="77777777" w:rsidR="00AD01F0" w:rsidRDefault="00AD01F0">
            <w:pPr>
              <w:rPr>
                <w:rFonts w:ascii="Microsoft Sans Serif" w:hAnsi="Microsoft Sans Serif" w:cs="Microsoft Sans Serif"/>
                <w:sz w:val="18"/>
                <w:szCs w:val="18"/>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4EB5D8D8"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 xml:space="preserve">Ovládanie nakladača z kabíny traktora </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314CB781"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AD01F0" w14:paraId="5DE0493C" w14:textId="77777777" w:rsidTr="00AD01F0">
        <w:trPr>
          <w:trHeight w:val="780"/>
        </w:trPr>
        <w:tc>
          <w:tcPr>
            <w:tcW w:w="73" w:type="dxa"/>
            <w:tcBorders>
              <w:top w:val="nil"/>
              <w:left w:val="nil"/>
              <w:bottom w:val="nil"/>
              <w:right w:val="nil"/>
            </w:tcBorders>
            <w:shd w:val="clear" w:color="auto" w:fill="auto"/>
            <w:noWrap/>
            <w:vAlign w:val="bottom"/>
            <w:hideMark/>
          </w:tcPr>
          <w:p w14:paraId="198E0368" w14:textId="77777777" w:rsidR="00AD01F0" w:rsidRDefault="00AD01F0">
            <w:pPr>
              <w:rPr>
                <w:rFonts w:ascii="Microsoft Sans Serif" w:hAnsi="Microsoft Sans Serif" w:cs="Microsoft Sans Serif"/>
                <w:sz w:val="18"/>
                <w:szCs w:val="18"/>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7825789B"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 xml:space="preserve">Príslušenstvo: Lopata UNI s drapákom-šírka záberu min.2,0m , </w:t>
            </w:r>
            <w:proofErr w:type="spellStart"/>
            <w:r>
              <w:rPr>
                <w:rFonts w:ascii="Microsoft Sans Serif" w:hAnsi="Microsoft Sans Serif" w:cs="Microsoft Sans Serif"/>
                <w:sz w:val="18"/>
                <w:szCs w:val="18"/>
              </w:rPr>
              <w:t>Paletizačné</w:t>
            </w:r>
            <w:proofErr w:type="spellEnd"/>
            <w:r>
              <w:rPr>
                <w:rFonts w:ascii="Microsoft Sans Serif" w:hAnsi="Microsoft Sans Serif" w:cs="Microsoft Sans Serif"/>
                <w:sz w:val="18"/>
                <w:szCs w:val="18"/>
              </w:rPr>
              <w:t xml:space="preserve"> vidly - nosnosť min. 1500kg</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5090CB9E"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áno</w:t>
            </w: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51B72204"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w:t>
      </w:r>
      <w:r w:rsidR="0042472B">
        <w:rPr>
          <w:rFonts w:ascii="Candara" w:hAnsi="Candara" w:cstheme="minorHAnsi"/>
          <w:caps w:val="0"/>
          <w:color w:val="000000" w:themeColor="text1"/>
        </w:rPr>
        <w:t xml:space="preserve"> – </w:t>
      </w:r>
      <w:r w:rsidR="00AD01F0" w:rsidRPr="00AD01F0">
        <w:rPr>
          <w:rFonts w:ascii="Candara" w:hAnsi="Candara" w:cstheme="minorHAnsi"/>
          <w:caps w:val="0"/>
          <w:color w:val="000000" w:themeColor="text1"/>
        </w:rPr>
        <w:t>Čelný nakladač s príslušenstvom</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AD01F0">
        <w:rPr>
          <w:rFonts w:ascii="Candara" w:hAnsi="Candara" w:cstheme="minorHAnsi"/>
          <w:caps w:val="0"/>
          <w:color w:val="000000" w:themeColor="text1"/>
        </w:rPr>
        <w:t>2</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60"/>
        <w:gridCol w:w="2438"/>
        <w:gridCol w:w="1026"/>
        <w:gridCol w:w="1259"/>
        <w:gridCol w:w="1547"/>
        <w:gridCol w:w="180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23570866" w:rsidR="0042472B" w:rsidRPr="0042472B" w:rsidRDefault="00877ED6" w:rsidP="00BA0F29">
            <w:pPr>
              <w:jc w:val="center"/>
              <w:rPr>
                <w:rFonts w:ascii="Candara" w:hAnsi="Candara" w:cs="Arial"/>
                <w:b/>
                <w:sz w:val="22"/>
                <w:szCs w:val="22"/>
              </w:rPr>
            </w:pPr>
            <w:r>
              <w:rPr>
                <w:rFonts w:ascii="Candara" w:hAnsi="Candara" w:cs="Arial"/>
                <w:b/>
                <w:sz w:val="22"/>
                <w:szCs w:val="22"/>
              </w:rPr>
              <w:t>2</w:t>
            </w:r>
            <w:r w:rsidR="0042472B" w:rsidRPr="0042472B">
              <w:rPr>
                <w:rFonts w:ascii="Candara" w:hAnsi="Candara" w:cs="Arial"/>
                <w:b/>
                <w:sz w:val="22"/>
                <w:szCs w:val="22"/>
              </w:rPr>
              <w:t>.</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7DA67506" w:rsidR="0042472B" w:rsidRPr="0042472B" w:rsidRDefault="00AD01F0" w:rsidP="00AD01F0">
            <w:pPr>
              <w:rPr>
                <w:rFonts w:ascii="Candara" w:hAnsi="Candara" w:cs="Arial"/>
                <w:b/>
                <w:sz w:val="22"/>
                <w:szCs w:val="22"/>
              </w:rPr>
            </w:pPr>
            <w:r w:rsidRPr="00AD01F0">
              <w:rPr>
                <w:rFonts w:ascii="Candara" w:hAnsi="Candara" w:cs="Arial"/>
                <w:b/>
                <w:sz w:val="22"/>
                <w:szCs w:val="22"/>
              </w:rPr>
              <w:t>Čelný nakladač s príslušenstvom</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084DBC" w:rsidRDefault="009E4C59" w:rsidP="00BA0F29">
            <w:pPr>
              <w:spacing w:before="120" w:after="120"/>
              <w:rPr>
                <w:rFonts w:ascii="Candara" w:eastAsia="Arial Narrow" w:hAnsi="Candara" w:cstheme="minorHAnsi"/>
                <w:bCs/>
              </w:rPr>
            </w:pPr>
            <w:r w:rsidRPr="00084DBC">
              <w:rPr>
                <w:rFonts w:ascii="Candara" w:eastAsia="Arial Narrow" w:hAnsi="Candara" w:cstheme="minorHAnsi"/>
                <w:bCs/>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1" w:name="_Toc419999789"/>
      <w:bookmarkStart w:id="2" w:name="_Toc429730869"/>
      <w:bookmarkStart w:id="3"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1"/>
      <w:bookmarkEnd w:id="2"/>
      <w:bookmarkEnd w:id="3"/>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5D934FE5"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 xml:space="preserve">ZABEZPEČENIE TECHNICKÉHO VYBAVENIA PRE ZBERNÝ DVOR OBCI ŠÚTOVCE – </w:t>
      </w:r>
      <w:r w:rsidR="00AD01F0" w:rsidRPr="00AD01F0">
        <w:rPr>
          <w:rFonts w:ascii="Candara" w:hAnsi="Candara" w:cstheme="minorHAnsi"/>
          <w:caps w:val="0"/>
          <w:color w:val="000000" w:themeColor="text1"/>
        </w:rPr>
        <w:t>Čelný nakladač s príslušenstvom</w:t>
      </w:r>
      <w:r w:rsidR="00084DBC" w:rsidRPr="00084DBC">
        <w:rPr>
          <w:rFonts w:ascii="Candara" w:hAnsi="Candara" w:cstheme="minorHAnsi"/>
          <w:caps w:val="0"/>
          <w:color w:val="000000" w:themeColor="text1"/>
        </w:rPr>
        <w:t xml:space="preserve">“ časť </w:t>
      </w:r>
      <w:r w:rsidR="00AD01F0">
        <w:rPr>
          <w:rFonts w:ascii="Candara" w:hAnsi="Candara" w:cstheme="minorHAnsi"/>
          <w:caps w:val="0"/>
          <w:color w:val="000000" w:themeColor="text1"/>
        </w:rPr>
        <w:t>2</w:t>
      </w:r>
      <w:r w:rsidRPr="0042472B">
        <w:rPr>
          <w:rFonts w:ascii="Candara" w:hAnsi="Candara" w:cstheme="minorHAnsi"/>
          <w:b w:val="0"/>
          <w:bCs w:val="0"/>
          <w:caps w:val="0"/>
          <w:color w:val="auto"/>
          <w:sz w:val="20"/>
          <w:szCs w:val="20"/>
          <w:lang w:eastAsia="en-US"/>
        </w:rPr>
        <w:t xml:space="preserve">, vyhlásenej verejným obstarávateľom Obcou </w:t>
      </w:r>
      <w:r w:rsidR="00084DBC">
        <w:rPr>
          <w:rFonts w:ascii="Candara" w:hAnsi="Candara" w:cstheme="minorHAnsi"/>
          <w:b w:val="0"/>
          <w:bCs w:val="0"/>
          <w:caps w:val="0"/>
          <w:color w:val="auto"/>
          <w:sz w:val="20"/>
          <w:szCs w:val="20"/>
          <w:lang w:eastAsia="en-US"/>
        </w:rPr>
        <w:t>Šútovce</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09"/>
        <w:gridCol w:w="1255"/>
        <w:gridCol w:w="1213"/>
        <w:gridCol w:w="2039"/>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789F" w14:textId="77777777" w:rsidR="009E5B08" w:rsidRDefault="009E5B08" w:rsidP="009E4C59">
      <w:r>
        <w:separator/>
      </w:r>
    </w:p>
  </w:endnote>
  <w:endnote w:type="continuationSeparator" w:id="0">
    <w:p w14:paraId="633DEC45" w14:textId="77777777" w:rsidR="009E5B08" w:rsidRDefault="009E5B08"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panose1 w:val="020B0604020202020204"/>
    <w:charset w:val="00"/>
    <w:family w:val="auto"/>
    <w:pitch w:val="variable"/>
    <w:sig w:usb0="00000001"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000000"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44E8" w14:textId="77777777" w:rsidR="009E5B08" w:rsidRDefault="009E5B08" w:rsidP="009E4C59">
      <w:r>
        <w:separator/>
      </w:r>
    </w:p>
  </w:footnote>
  <w:footnote w:type="continuationSeparator" w:id="0">
    <w:p w14:paraId="2A8C5CD1" w14:textId="77777777" w:rsidR="009E5B08" w:rsidRDefault="009E5B08"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01FD2F13" w:rsidR="00F3034A" w:rsidRDefault="0042472B" w:rsidP="001A216E">
    <w:pPr>
      <w:pStyle w:val="Hlavika"/>
      <w:tabs>
        <w:tab w:val="left" w:pos="3450"/>
      </w:tabs>
    </w:pPr>
    <w:r>
      <w:tab/>
    </w:r>
  </w:p>
  <w:p w14:paraId="6DD54C9A" w14:textId="1BA6C5D5"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w:t>
    </w:r>
    <w:r w:rsidR="00084DBC">
      <w:rPr>
        <w:rFonts w:ascii="Cambria" w:hAnsi="Cambria" w:cstheme="minorHAnsi"/>
        <w:noProof/>
        <w:sz w:val="24"/>
        <w:szCs w:val="24"/>
      </w:rPr>
      <w:t>Šútovce</w:t>
    </w:r>
  </w:p>
  <w:p w14:paraId="2AE89A45" w14:textId="2FBB158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084DBC">
      <w:rPr>
        <w:rFonts w:asciiTheme="minorHAnsi" w:hAnsiTheme="minorHAnsi" w:cstheme="minorHAnsi"/>
        <w:color w:val="000000"/>
        <w:sz w:val="24"/>
        <w:szCs w:val="26"/>
      </w:rPr>
      <w:t>Šútovce č. 39, 972 01</w:t>
    </w:r>
  </w:p>
  <w:p w14:paraId="38731951" w14:textId="77777777" w:rsidR="00F3034A" w:rsidRDefault="00000000"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000000"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F3F5121"/>
    <w:multiLevelType w:val="hybridMultilevel"/>
    <w:tmpl w:val="B7F84CAC"/>
    <w:lvl w:ilvl="0" w:tplc="F918A198">
      <w:start w:val="1"/>
      <w:numFmt w:val="lowerLetter"/>
      <w:lvlText w:val="%1)"/>
      <w:lvlJc w:val="left"/>
      <w:pPr>
        <w:ind w:left="1878" w:hanging="360"/>
      </w:pPr>
      <w:rPr>
        <w:rFonts w:hint="default"/>
      </w:rPr>
    </w:lvl>
    <w:lvl w:ilvl="1" w:tplc="041B0019" w:tentative="1">
      <w:start w:val="1"/>
      <w:numFmt w:val="lowerLetter"/>
      <w:lvlText w:val="%2."/>
      <w:lvlJc w:val="left"/>
      <w:pPr>
        <w:ind w:left="2598" w:hanging="360"/>
      </w:pPr>
    </w:lvl>
    <w:lvl w:ilvl="2" w:tplc="041B001B" w:tentative="1">
      <w:start w:val="1"/>
      <w:numFmt w:val="lowerRoman"/>
      <w:lvlText w:val="%3."/>
      <w:lvlJc w:val="right"/>
      <w:pPr>
        <w:ind w:left="3318" w:hanging="180"/>
      </w:pPr>
    </w:lvl>
    <w:lvl w:ilvl="3" w:tplc="041B000F" w:tentative="1">
      <w:start w:val="1"/>
      <w:numFmt w:val="decimal"/>
      <w:lvlText w:val="%4."/>
      <w:lvlJc w:val="left"/>
      <w:pPr>
        <w:ind w:left="4038" w:hanging="360"/>
      </w:pPr>
    </w:lvl>
    <w:lvl w:ilvl="4" w:tplc="041B0019" w:tentative="1">
      <w:start w:val="1"/>
      <w:numFmt w:val="lowerLetter"/>
      <w:lvlText w:val="%5."/>
      <w:lvlJc w:val="left"/>
      <w:pPr>
        <w:ind w:left="4758" w:hanging="360"/>
      </w:pPr>
    </w:lvl>
    <w:lvl w:ilvl="5" w:tplc="041B001B" w:tentative="1">
      <w:start w:val="1"/>
      <w:numFmt w:val="lowerRoman"/>
      <w:lvlText w:val="%6."/>
      <w:lvlJc w:val="right"/>
      <w:pPr>
        <w:ind w:left="5478" w:hanging="180"/>
      </w:pPr>
    </w:lvl>
    <w:lvl w:ilvl="6" w:tplc="041B000F" w:tentative="1">
      <w:start w:val="1"/>
      <w:numFmt w:val="decimal"/>
      <w:lvlText w:val="%7."/>
      <w:lvlJc w:val="left"/>
      <w:pPr>
        <w:ind w:left="6198" w:hanging="360"/>
      </w:pPr>
    </w:lvl>
    <w:lvl w:ilvl="7" w:tplc="041B0019" w:tentative="1">
      <w:start w:val="1"/>
      <w:numFmt w:val="lowerLetter"/>
      <w:lvlText w:val="%8."/>
      <w:lvlJc w:val="left"/>
      <w:pPr>
        <w:ind w:left="6918" w:hanging="360"/>
      </w:pPr>
    </w:lvl>
    <w:lvl w:ilvl="8" w:tplc="041B001B" w:tentative="1">
      <w:start w:val="1"/>
      <w:numFmt w:val="lowerRoman"/>
      <w:lvlText w:val="%9."/>
      <w:lvlJc w:val="right"/>
      <w:pPr>
        <w:ind w:left="7638" w:hanging="180"/>
      </w:pPr>
    </w:lvl>
  </w:abstractNum>
  <w:abstractNum w:abstractNumId="11"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87444"/>
    <w:multiLevelType w:val="hybridMultilevel"/>
    <w:tmpl w:val="4FD646CE"/>
    <w:lvl w:ilvl="0" w:tplc="041B0017">
      <w:start w:val="1"/>
      <w:numFmt w:val="lowerLetter"/>
      <w:lvlText w:val="%1)"/>
      <w:lvlJc w:val="left"/>
      <w:pPr>
        <w:ind w:left="2235" w:hanging="360"/>
      </w:pPr>
    </w:lvl>
    <w:lvl w:ilvl="1" w:tplc="041B0019" w:tentative="1">
      <w:start w:val="1"/>
      <w:numFmt w:val="lowerLetter"/>
      <w:lvlText w:val="%2."/>
      <w:lvlJc w:val="left"/>
      <w:pPr>
        <w:ind w:left="2955" w:hanging="360"/>
      </w:pPr>
    </w:lvl>
    <w:lvl w:ilvl="2" w:tplc="041B001B" w:tentative="1">
      <w:start w:val="1"/>
      <w:numFmt w:val="lowerRoman"/>
      <w:lvlText w:val="%3."/>
      <w:lvlJc w:val="right"/>
      <w:pPr>
        <w:ind w:left="3675" w:hanging="180"/>
      </w:pPr>
    </w:lvl>
    <w:lvl w:ilvl="3" w:tplc="041B000F" w:tentative="1">
      <w:start w:val="1"/>
      <w:numFmt w:val="decimal"/>
      <w:lvlText w:val="%4."/>
      <w:lvlJc w:val="left"/>
      <w:pPr>
        <w:ind w:left="4395" w:hanging="360"/>
      </w:pPr>
    </w:lvl>
    <w:lvl w:ilvl="4" w:tplc="041B0019" w:tentative="1">
      <w:start w:val="1"/>
      <w:numFmt w:val="lowerLetter"/>
      <w:lvlText w:val="%5."/>
      <w:lvlJc w:val="left"/>
      <w:pPr>
        <w:ind w:left="5115" w:hanging="360"/>
      </w:pPr>
    </w:lvl>
    <w:lvl w:ilvl="5" w:tplc="041B001B" w:tentative="1">
      <w:start w:val="1"/>
      <w:numFmt w:val="lowerRoman"/>
      <w:lvlText w:val="%6."/>
      <w:lvlJc w:val="right"/>
      <w:pPr>
        <w:ind w:left="5835" w:hanging="180"/>
      </w:pPr>
    </w:lvl>
    <w:lvl w:ilvl="6" w:tplc="041B000F" w:tentative="1">
      <w:start w:val="1"/>
      <w:numFmt w:val="decimal"/>
      <w:lvlText w:val="%7."/>
      <w:lvlJc w:val="left"/>
      <w:pPr>
        <w:ind w:left="6555" w:hanging="360"/>
      </w:pPr>
    </w:lvl>
    <w:lvl w:ilvl="7" w:tplc="041B0019" w:tentative="1">
      <w:start w:val="1"/>
      <w:numFmt w:val="lowerLetter"/>
      <w:lvlText w:val="%8."/>
      <w:lvlJc w:val="left"/>
      <w:pPr>
        <w:ind w:left="7275" w:hanging="360"/>
      </w:pPr>
    </w:lvl>
    <w:lvl w:ilvl="8" w:tplc="041B001B" w:tentative="1">
      <w:start w:val="1"/>
      <w:numFmt w:val="lowerRoman"/>
      <w:lvlText w:val="%9."/>
      <w:lvlJc w:val="right"/>
      <w:pPr>
        <w:ind w:left="7995" w:hanging="180"/>
      </w:pPr>
    </w:lvl>
  </w:abstractNum>
  <w:abstractNum w:abstractNumId="14"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7"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7"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32021201">
    <w:abstractNumId w:val="8"/>
  </w:num>
  <w:num w:numId="2" w16cid:durableId="2510812">
    <w:abstractNumId w:val="15"/>
  </w:num>
  <w:num w:numId="3" w16cid:durableId="396637852">
    <w:abstractNumId w:val="26"/>
  </w:num>
  <w:num w:numId="4" w16cid:durableId="919485258">
    <w:abstractNumId w:val="24"/>
  </w:num>
  <w:num w:numId="5" w16cid:durableId="1216769683">
    <w:abstractNumId w:val="11"/>
  </w:num>
  <w:num w:numId="6" w16cid:durableId="1107121148">
    <w:abstractNumId w:val="16"/>
  </w:num>
  <w:num w:numId="7" w16cid:durableId="1138062361">
    <w:abstractNumId w:val="3"/>
  </w:num>
  <w:num w:numId="8" w16cid:durableId="308946760">
    <w:abstractNumId w:val="1"/>
  </w:num>
  <w:num w:numId="9" w16cid:durableId="1781873893">
    <w:abstractNumId w:val="23"/>
  </w:num>
  <w:num w:numId="10" w16cid:durableId="595139572">
    <w:abstractNumId w:val="21"/>
  </w:num>
  <w:num w:numId="11" w16cid:durableId="533227653">
    <w:abstractNumId w:val="5"/>
  </w:num>
  <w:num w:numId="12" w16cid:durableId="1052577482">
    <w:abstractNumId w:val="2"/>
  </w:num>
  <w:num w:numId="13" w16cid:durableId="5320375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7629">
    <w:abstractNumId w:val="20"/>
  </w:num>
  <w:num w:numId="15" w16cid:durableId="68166159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474">
    <w:abstractNumId w:val="4"/>
  </w:num>
  <w:num w:numId="17" w16cid:durableId="5247102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8514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676427">
    <w:abstractNumId w:val="18"/>
  </w:num>
  <w:num w:numId="20" w16cid:durableId="92144761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638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98344">
    <w:abstractNumId w:val="9"/>
  </w:num>
  <w:num w:numId="23" w16cid:durableId="439691685">
    <w:abstractNumId w:val="27"/>
  </w:num>
  <w:num w:numId="24" w16cid:durableId="2071805462">
    <w:abstractNumId w:val="0"/>
  </w:num>
  <w:num w:numId="25" w16cid:durableId="2018919318">
    <w:abstractNumId w:val="12"/>
  </w:num>
  <w:num w:numId="26" w16cid:durableId="418908320">
    <w:abstractNumId w:val="14"/>
  </w:num>
  <w:num w:numId="27" w16cid:durableId="1337076176">
    <w:abstractNumId w:val="0"/>
    <w:lvlOverride w:ilvl="0">
      <w:startOverride w:val="1"/>
    </w:lvlOverride>
  </w:num>
  <w:num w:numId="28" w16cid:durableId="1107769602">
    <w:abstractNumId w:val="13"/>
  </w:num>
  <w:num w:numId="29" w16cid:durableId="66034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0145B"/>
    <w:rsid w:val="00084DBC"/>
    <w:rsid w:val="000935EE"/>
    <w:rsid w:val="00131F45"/>
    <w:rsid w:val="00150FA6"/>
    <w:rsid w:val="00200C76"/>
    <w:rsid w:val="00261C01"/>
    <w:rsid w:val="002A2F84"/>
    <w:rsid w:val="00300F05"/>
    <w:rsid w:val="00377F4A"/>
    <w:rsid w:val="003847B3"/>
    <w:rsid w:val="003D094C"/>
    <w:rsid w:val="003E4932"/>
    <w:rsid w:val="004153AC"/>
    <w:rsid w:val="0042472B"/>
    <w:rsid w:val="0045753F"/>
    <w:rsid w:val="00601F8D"/>
    <w:rsid w:val="00664063"/>
    <w:rsid w:val="00664596"/>
    <w:rsid w:val="00713012"/>
    <w:rsid w:val="00732235"/>
    <w:rsid w:val="00757287"/>
    <w:rsid w:val="00791896"/>
    <w:rsid w:val="007C665D"/>
    <w:rsid w:val="00843CDB"/>
    <w:rsid w:val="00877ED6"/>
    <w:rsid w:val="008B4397"/>
    <w:rsid w:val="009A049E"/>
    <w:rsid w:val="009D502B"/>
    <w:rsid w:val="009E4C59"/>
    <w:rsid w:val="009E5B08"/>
    <w:rsid w:val="00AA5A4D"/>
    <w:rsid w:val="00AD01F0"/>
    <w:rsid w:val="00B568C1"/>
    <w:rsid w:val="00B667E6"/>
    <w:rsid w:val="00BE0C11"/>
    <w:rsid w:val="00BF4B7E"/>
    <w:rsid w:val="00C00352"/>
    <w:rsid w:val="00C8287D"/>
    <w:rsid w:val="00D15367"/>
    <w:rsid w:val="00E310EF"/>
    <w:rsid w:val="00E42BC6"/>
    <w:rsid w:val="00E533A8"/>
    <w:rsid w:val="00E6203E"/>
    <w:rsid w:val="00E92A8B"/>
    <w:rsid w:val="00ED357A"/>
    <w:rsid w:val="00FE64CF"/>
    <w:rsid w:val="00FF33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D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5170">
      <w:bodyDiv w:val="1"/>
      <w:marLeft w:val="0"/>
      <w:marRight w:val="0"/>
      <w:marTop w:val="0"/>
      <w:marBottom w:val="0"/>
      <w:divBdr>
        <w:top w:val="none" w:sz="0" w:space="0" w:color="auto"/>
        <w:left w:val="none" w:sz="0" w:space="0" w:color="auto"/>
        <w:bottom w:val="none" w:sz="0" w:space="0" w:color="auto"/>
        <w:right w:val="none" w:sz="0" w:space="0" w:color="auto"/>
      </w:divBdr>
    </w:div>
    <w:div w:id="268709076">
      <w:bodyDiv w:val="1"/>
      <w:marLeft w:val="0"/>
      <w:marRight w:val="0"/>
      <w:marTop w:val="0"/>
      <w:marBottom w:val="0"/>
      <w:divBdr>
        <w:top w:val="none" w:sz="0" w:space="0" w:color="auto"/>
        <w:left w:val="none" w:sz="0" w:space="0" w:color="auto"/>
        <w:bottom w:val="none" w:sz="0" w:space="0" w:color="auto"/>
        <w:right w:val="none" w:sz="0" w:space="0" w:color="auto"/>
      </w:divBdr>
    </w:div>
    <w:div w:id="309408315">
      <w:bodyDiv w:val="1"/>
      <w:marLeft w:val="0"/>
      <w:marRight w:val="0"/>
      <w:marTop w:val="0"/>
      <w:marBottom w:val="0"/>
      <w:divBdr>
        <w:top w:val="none" w:sz="0" w:space="0" w:color="auto"/>
        <w:left w:val="none" w:sz="0" w:space="0" w:color="auto"/>
        <w:bottom w:val="none" w:sz="0" w:space="0" w:color="auto"/>
        <w:right w:val="none" w:sz="0" w:space="0" w:color="auto"/>
      </w:divBdr>
    </w:div>
    <w:div w:id="658382591">
      <w:bodyDiv w:val="1"/>
      <w:marLeft w:val="0"/>
      <w:marRight w:val="0"/>
      <w:marTop w:val="0"/>
      <w:marBottom w:val="0"/>
      <w:divBdr>
        <w:top w:val="none" w:sz="0" w:space="0" w:color="auto"/>
        <w:left w:val="none" w:sz="0" w:space="0" w:color="auto"/>
        <w:bottom w:val="none" w:sz="0" w:space="0" w:color="auto"/>
        <w:right w:val="none" w:sz="0" w:space="0" w:color="auto"/>
      </w:divBdr>
    </w:div>
    <w:div w:id="814685891">
      <w:bodyDiv w:val="1"/>
      <w:marLeft w:val="0"/>
      <w:marRight w:val="0"/>
      <w:marTop w:val="0"/>
      <w:marBottom w:val="0"/>
      <w:divBdr>
        <w:top w:val="none" w:sz="0" w:space="0" w:color="auto"/>
        <w:left w:val="none" w:sz="0" w:space="0" w:color="auto"/>
        <w:bottom w:val="none" w:sz="0" w:space="0" w:color="auto"/>
        <w:right w:val="none" w:sz="0" w:space="0" w:color="auto"/>
      </w:divBdr>
    </w:div>
    <w:div w:id="1166632228">
      <w:bodyDiv w:val="1"/>
      <w:marLeft w:val="0"/>
      <w:marRight w:val="0"/>
      <w:marTop w:val="0"/>
      <w:marBottom w:val="0"/>
      <w:divBdr>
        <w:top w:val="none" w:sz="0" w:space="0" w:color="auto"/>
        <w:left w:val="none" w:sz="0" w:space="0" w:color="auto"/>
        <w:bottom w:val="none" w:sz="0" w:space="0" w:color="auto"/>
        <w:right w:val="none" w:sz="0" w:space="0" w:color="auto"/>
      </w:divBdr>
    </w:div>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 w:id="1992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3019</Words>
  <Characters>17213</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Andrej Zelenák</cp:lastModifiedBy>
  <cp:revision>9</cp:revision>
  <cp:lastPrinted>2022-07-13T07:19:00Z</cp:lastPrinted>
  <dcterms:created xsi:type="dcterms:W3CDTF">2023-01-23T15:25:00Z</dcterms:created>
  <dcterms:modified xsi:type="dcterms:W3CDTF">2023-06-05T09:47:00Z</dcterms:modified>
</cp:coreProperties>
</file>