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00CBA06B" w14:textId="5F3A6E8F" w:rsidR="007B7A36" w:rsidRDefault="007B7A36" w:rsidP="007B7A36">
      <w:pPr>
        <w:spacing w:after="0" w:line="240" w:lineRule="auto"/>
        <w:rPr>
          <w:lang w:val="sk-SK"/>
        </w:rPr>
      </w:pPr>
      <w:r w:rsidRPr="007B7A36">
        <w:rPr>
          <w:b/>
          <w:lang w:val="sk-SK"/>
        </w:rPr>
        <w:t>Kupujúci:</w:t>
      </w:r>
      <w:r>
        <w:rPr>
          <w:lang w:val="sk-SK"/>
        </w:rPr>
        <w:tab/>
      </w:r>
      <w:r>
        <w:rPr>
          <w:lang w:val="sk-SK"/>
        </w:rPr>
        <w:tab/>
      </w:r>
      <w:r w:rsidR="00DA4F13">
        <w:rPr>
          <w:b/>
          <w:lang w:val="sk-SK"/>
        </w:rPr>
        <w:t>Jumäs Trade s.r.o.</w:t>
      </w:r>
    </w:p>
    <w:p w14:paraId="1ED5CC3D" w14:textId="2A74231A"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DA4F13">
        <w:rPr>
          <w:lang w:val="sk-SK"/>
        </w:rPr>
        <w:t>Škarniclovská 124/1, 909 01 Skalica</w:t>
      </w:r>
    </w:p>
    <w:p w14:paraId="0B090FD0" w14:textId="7594CC60"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DA4F13">
        <w:t>36337714</w:t>
      </w:r>
    </w:p>
    <w:p w14:paraId="75B060C2" w14:textId="7BED5D25"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DA4F13">
        <w:t>2021861380</w:t>
      </w:r>
    </w:p>
    <w:p w14:paraId="0A7CF1E5" w14:textId="04EC89EF" w:rsidR="007B7A36" w:rsidRDefault="007B7A36" w:rsidP="005221B2">
      <w:pPr>
        <w:spacing w:after="0" w:line="240" w:lineRule="auto"/>
      </w:pPr>
      <w:r>
        <w:rPr>
          <w:lang w:val="sk-SK"/>
        </w:rPr>
        <w:t>IČ DPH:</w:t>
      </w:r>
      <w:r>
        <w:rPr>
          <w:lang w:val="sk-SK"/>
        </w:rPr>
        <w:tab/>
      </w:r>
      <w:r>
        <w:rPr>
          <w:lang w:val="sk-SK"/>
        </w:rPr>
        <w:tab/>
      </w:r>
      <w:r>
        <w:rPr>
          <w:lang w:val="sk-SK"/>
        </w:rPr>
        <w:tab/>
      </w:r>
      <w:r w:rsidR="00DA4F13">
        <w:t>SK2021861380</w:t>
      </w:r>
    </w:p>
    <w:p w14:paraId="7C8AF235" w14:textId="00C67D59" w:rsidR="00A52D86" w:rsidRPr="00DA4F13" w:rsidRDefault="005221B2" w:rsidP="00DA4F13">
      <w:pPr>
        <w:keepLines/>
        <w:spacing w:after="0" w:line="260" w:lineRule="exact"/>
        <w:rPr>
          <w:rFonts w:ascii="Calibri" w:hAnsi="Calibri" w:cs="Calibri"/>
          <w:shd w:val="clear" w:color="auto" w:fill="FFFFFF"/>
          <w:lang w:val="sk-SK"/>
        </w:rPr>
      </w:pPr>
      <w:r>
        <w:rPr>
          <w:lang w:val="sk-SK"/>
        </w:rPr>
        <w:t>Štatutárny zástupca:</w:t>
      </w:r>
      <w:r>
        <w:rPr>
          <w:lang w:val="sk-SK"/>
        </w:rPr>
        <w:tab/>
      </w:r>
      <w:bookmarkStart w:id="0" w:name="_Hlk103604717"/>
      <w:r w:rsidR="00DA4F13">
        <w:rPr>
          <w:rFonts w:ascii="Calibri" w:hAnsi="Calibri" w:cs="Calibri"/>
          <w:lang w:val="sk-SK"/>
        </w:rPr>
        <w:t>Juraj Bezovák</w:t>
      </w:r>
      <w:r w:rsidR="00A52D86" w:rsidRPr="00A42ABE">
        <w:rPr>
          <w:rFonts w:ascii="Calibri" w:hAnsi="Calibri" w:cs="Calibri"/>
          <w:lang w:val="sk-SK"/>
        </w:rPr>
        <w:t xml:space="preserve"> - </w:t>
      </w:r>
      <w:r w:rsidR="003D443C" w:rsidRPr="00A42ABE">
        <w:rPr>
          <w:rFonts w:ascii="Calibri" w:hAnsi="Calibri" w:cs="Calibri"/>
          <w:lang w:val="sk-SK"/>
        </w:rPr>
        <w:t xml:space="preserve"> </w:t>
      </w:r>
      <w:bookmarkEnd w:id="0"/>
      <w:r w:rsidR="00DA4F13">
        <w:rPr>
          <w:rFonts w:ascii="Calibri" w:hAnsi="Calibri" w:cs="Calibri"/>
          <w:shd w:val="clear" w:color="auto" w:fill="FFFFFF"/>
          <w:lang w:val="sk-SK"/>
        </w:rPr>
        <w:t>konateľ spoločnosti</w:t>
      </w:r>
    </w:p>
    <w:p w14:paraId="410C8572" w14:textId="77777777" w:rsidR="007B7A36" w:rsidRDefault="007B7A36" w:rsidP="005221B2">
      <w:pPr>
        <w:spacing w:after="0" w:line="240" w:lineRule="auto"/>
        <w:rPr>
          <w:lang w:val="sk-SK"/>
        </w:rPr>
      </w:pPr>
      <w:r>
        <w:rPr>
          <w:lang w:val="sk-SK"/>
        </w:rPr>
        <w:t>Bankové spojenie:</w:t>
      </w:r>
      <w:r>
        <w:rPr>
          <w:lang w:val="sk-SK"/>
        </w:rPr>
        <w:tab/>
      </w:r>
      <w:r w:rsidR="00773BFA">
        <w:rPr>
          <w:lang w:val="sk-SK"/>
        </w:rPr>
        <w:t>...........................................................</w:t>
      </w:r>
    </w:p>
    <w:p w14:paraId="18683DDC" w14:textId="77777777"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7219D36C" w14:textId="77777777" w:rsidR="007B7A36" w:rsidRDefault="007B7A36" w:rsidP="007B7A36">
      <w:pPr>
        <w:spacing w:after="0" w:line="240" w:lineRule="auto"/>
        <w:rPr>
          <w:lang w:val="sk-SK"/>
        </w:rPr>
      </w:pPr>
      <w:r>
        <w:rPr>
          <w:lang w:val="sk-SK"/>
        </w:rPr>
        <w:t>(ďalej len „kupujúci“ a spoločne „zmluvné strany“)</w:t>
      </w:r>
    </w:p>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3BB3A11" w14:textId="3341BA72" w:rsidR="0094046B" w:rsidRDefault="0094046B" w:rsidP="0094046B">
      <w:pPr>
        <w:spacing w:after="0" w:line="240" w:lineRule="auto"/>
        <w:jc w:val="both"/>
        <w:rPr>
          <w:lang w:val="sk-SK"/>
        </w:rPr>
      </w:pPr>
      <w:r>
        <w:rPr>
          <w:lang w:val="sk-SK"/>
        </w:rPr>
        <w:t xml:space="preserve">Táto </w:t>
      </w:r>
      <w:r w:rsidRPr="00D51DCC">
        <w:rPr>
          <w:lang w:val="sk-SK"/>
        </w:rPr>
        <w:t xml:space="preserve">kúpna zmluva je uzatvorená ako výsledok procesu zadávania zákazky, ktoré bolo začaté zverejnením Výzvy na predkladanie ponúk </w:t>
      </w:r>
      <w:r w:rsidR="00773BFA" w:rsidRPr="00D51DCC">
        <w:rPr>
          <w:lang w:val="sk-SK"/>
        </w:rPr>
        <w:t xml:space="preserve">v elektronickom obstarávacom systéme </w:t>
      </w:r>
      <w:r w:rsidR="00773BFA" w:rsidRPr="00D51DCC">
        <w:t xml:space="preserve">JOSEPHINE </w:t>
      </w:r>
      <w:r w:rsidRPr="00D51DCC">
        <w:rPr>
          <w:lang w:val="sk-SK"/>
        </w:rPr>
        <w:t xml:space="preserve">dňa </w:t>
      </w:r>
      <w:r w:rsidR="002057B4" w:rsidRPr="00795EE2">
        <w:rPr>
          <w:lang w:val="sk-SK"/>
        </w:rPr>
        <w:t>14.04.2023 pod ID: 40240</w:t>
      </w:r>
      <w:r w:rsidR="002057B4">
        <w:rPr>
          <w:lang w:val="sk-SK"/>
        </w:rPr>
        <w:t xml:space="preserve"> </w:t>
      </w:r>
      <w:r>
        <w:rPr>
          <w:lang w:val="sk-SK"/>
        </w:rPr>
        <w:t>pre zákazku s názvom „</w:t>
      </w:r>
      <w:r w:rsidR="00DA4F13">
        <w:rPr>
          <w:lang w:val="sk-SK"/>
        </w:rPr>
        <w:t xml:space="preserve">Nákup </w:t>
      </w:r>
      <w:r w:rsidR="00AA1508">
        <w:rPr>
          <w:lang w:val="sk-SK"/>
        </w:rPr>
        <w:t>zariadení na spracovanie potravín</w:t>
      </w:r>
      <w:r>
        <w:rPr>
          <w:lang w:val="sk-SK"/>
        </w:rPr>
        <w:t>“</w:t>
      </w:r>
      <w:r w:rsidR="00DA4F13">
        <w:rPr>
          <w:lang w:val="sk-SK"/>
        </w:rPr>
        <w:t xml:space="preserve"> – Časť č. </w:t>
      </w:r>
      <w:r w:rsidR="007829CE">
        <w:rPr>
          <w:lang w:val="sk-SK"/>
        </w:rPr>
        <w:t>2</w:t>
      </w:r>
      <w:r w:rsidR="00DA4F13">
        <w:rPr>
          <w:lang w:val="sk-SK"/>
        </w:rPr>
        <w:t xml:space="preserve"> – </w:t>
      </w:r>
      <w:r w:rsidR="007829CE">
        <w:rPr>
          <w:lang w:val="sk-SK"/>
        </w:rPr>
        <w:t>Výrobník šupinkového ľadu</w:t>
      </w:r>
      <w:r>
        <w:rPr>
          <w:lang w:val="sk-SK"/>
        </w:rPr>
        <w:t>.</w:t>
      </w:r>
    </w:p>
    <w:p w14:paraId="10AF69EE" w14:textId="77777777" w:rsidR="0094046B" w:rsidRDefault="0094046B" w:rsidP="0094046B">
      <w:pPr>
        <w:spacing w:after="0" w:line="240" w:lineRule="auto"/>
        <w:jc w:val="both"/>
        <w:rPr>
          <w:lang w:val="sk-SK"/>
        </w:rPr>
      </w:pP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4DF8A4EF"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02206A">
        <w:rPr>
          <w:lang w:val="sk-SK"/>
        </w:rPr>
        <w:t>20</w:t>
      </w:r>
      <w:r w:rsidR="00044E40">
        <w:rPr>
          <w:lang w:val="sk-SK"/>
        </w:rPr>
        <w:t xml:space="preserve"> </w:t>
      </w:r>
      <w:r w:rsidR="0002206A">
        <w:rPr>
          <w:lang w:val="sk-SK"/>
        </w:rPr>
        <w:t>týždňov</w:t>
      </w:r>
      <w:r>
        <w:rPr>
          <w:lang w:val="sk-SK"/>
        </w:rPr>
        <w:t xml:space="preserve"> odo dňa nadobudnutia účinnosti tejto zmluvy.</w:t>
      </w:r>
    </w:p>
    <w:p w14:paraId="6098363A" w14:textId="70B165BA" w:rsidR="00733E93" w:rsidRDefault="00733E93" w:rsidP="00733E93">
      <w:pPr>
        <w:spacing w:after="0" w:line="240" w:lineRule="auto"/>
        <w:rPr>
          <w:lang w:val="sk-SK"/>
        </w:rPr>
      </w:pPr>
    </w:p>
    <w:p w14:paraId="60988AB4" w14:textId="77777777" w:rsidR="0002206A" w:rsidRDefault="0002206A"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lastRenderedPageBreak/>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644F83A9"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r w:rsidR="0002206A">
        <w:rPr>
          <w:lang w:val="sk-SK"/>
        </w:rPr>
        <w:t>Jumäs Trade s.r.o., Škvarniclovská 124/1, 909 01 Skalica.</w:t>
      </w:r>
    </w:p>
    <w:p w14:paraId="05721E82" w14:textId="3B81DF52"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1D319102" w14:textId="5496EE37" w:rsidR="0030647C" w:rsidRDefault="007829CE" w:rsidP="00733E93">
      <w:pPr>
        <w:pStyle w:val="Odsekzoznamu"/>
        <w:spacing w:after="0" w:line="240" w:lineRule="auto"/>
        <w:ind w:left="360"/>
        <w:jc w:val="both"/>
        <w:rPr>
          <w:lang w:val="sk-SK"/>
        </w:rPr>
      </w:pPr>
      <w:r>
        <w:rPr>
          <w:lang w:val="sk-SK"/>
        </w:rPr>
        <w:t>Výrobník šupinkového ľadu</w:t>
      </w:r>
      <w:r w:rsidR="0002206A">
        <w:rPr>
          <w:lang w:val="sk-SK"/>
        </w:rPr>
        <w:tab/>
      </w:r>
      <w:r w:rsidR="0002206A">
        <w:rPr>
          <w:lang w:val="sk-SK"/>
        </w:rPr>
        <w:tab/>
      </w:r>
      <w:r w:rsidR="0002206A">
        <w:rPr>
          <w:lang w:val="sk-SK"/>
        </w:rPr>
        <w:tab/>
      </w:r>
      <w:r w:rsidR="0002206A">
        <w:rPr>
          <w:lang w:val="sk-SK"/>
        </w:rPr>
        <w:tab/>
      </w:r>
      <w:r w:rsidR="0002206A">
        <w:rPr>
          <w:lang w:val="sk-SK"/>
        </w:rPr>
        <w:tab/>
      </w:r>
      <w:r w:rsidR="00A52D86">
        <w:rPr>
          <w:lang w:val="sk-SK"/>
        </w:rPr>
        <w:t xml:space="preserve"> </w:t>
      </w:r>
      <w:r w:rsidR="0030647C">
        <w:rPr>
          <w:lang w:val="sk-SK"/>
        </w:rPr>
        <w:tab/>
      </w:r>
      <w:r w:rsidR="0030647C">
        <w:rPr>
          <w:lang w:val="sk-SK"/>
        </w:rPr>
        <w:tab/>
        <w:t>................... EUR</w:t>
      </w:r>
    </w:p>
    <w:p w14:paraId="0FD9ED6A" w14:textId="740F2087" w:rsidR="00733E93" w:rsidRDefault="006A510E" w:rsidP="00733E93">
      <w:pPr>
        <w:pStyle w:val="Odsekzoznamu"/>
        <w:spacing w:after="0" w:line="240" w:lineRule="auto"/>
        <w:ind w:left="360"/>
        <w:jc w:val="both"/>
        <w:rPr>
          <w:lang w:val="sk-SK"/>
        </w:rPr>
      </w:pPr>
      <w:r w:rsidRPr="006A510E">
        <w:rPr>
          <w:b/>
          <w:bCs/>
          <w:lang w:val="sk-SK"/>
        </w:rPr>
        <w:t xml:space="preserve">Celková </w:t>
      </w:r>
      <w:r w:rsidR="00733E93" w:rsidRPr="006A510E">
        <w:rPr>
          <w:b/>
          <w:bCs/>
          <w:lang w:val="sk-SK"/>
        </w:rPr>
        <w:t>Cena bez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30647C" w:rsidRPr="006A510E">
        <w:rPr>
          <w:b/>
          <w:bCs/>
          <w:lang w:val="sk-SK"/>
        </w:rPr>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622ED8D1" w:rsidR="00733E93" w:rsidRPr="00733E93" w:rsidRDefault="006A510E" w:rsidP="00733E93">
      <w:pPr>
        <w:pStyle w:val="Odsekzoznamu"/>
        <w:spacing w:after="0" w:line="240" w:lineRule="auto"/>
        <w:ind w:left="360"/>
        <w:jc w:val="both"/>
        <w:rPr>
          <w:lang w:val="sk-SK"/>
        </w:rPr>
      </w:pPr>
      <w:r>
        <w:rPr>
          <w:lang w:val="sk-SK"/>
        </w:rPr>
        <w:t xml:space="preserve">Celková </w:t>
      </w:r>
      <w:r w:rsidR="00733E93">
        <w:rPr>
          <w:lang w:val="sk-SK"/>
        </w:rPr>
        <w:t>Cena s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22E399DF" w:rsidR="00862D04" w:rsidRDefault="00DD7F34" w:rsidP="00733E93">
      <w:pPr>
        <w:pStyle w:val="Odsekzoznamu"/>
        <w:numPr>
          <w:ilvl w:val="0"/>
          <w:numId w:val="4"/>
        </w:numPr>
        <w:spacing w:after="0" w:line="240" w:lineRule="auto"/>
        <w:jc w:val="both"/>
        <w:rPr>
          <w:lang w:val="sk-SK"/>
        </w:rPr>
      </w:pPr>
      <w:bookmarkStart w:id="1" w:name="_Hlk115707050"/>
      <w:r>
        <w:rPr>
          <w:lang w:val="sk-SK"/>
        </w:rPr>
        <w:t>Faktúru predávajúci vystaví</w:t>
      </w:r>
      <w:r w:rsidR="006A510E">
        <w:rPr>
          <w:lang w:val="sk-SK"/>
        </w:rPr>
        <w:t xml:space="preserve"> dodaní</w:t>
      </w:r>
      <w:r w:rsidR="00132E5C">
        <w:rPr>
          <w:lang w:val="sk-SK"/>
        </w:rPr>
        <w:t xml:space="preserve">m </w:t>
      </w:r>
      <w:r w:rsidR="006A510E">
        <w:rPr>
          <w:lang w:val="sk-SK"/>
        </w:rPr>
        <w:t>celého zmluvného záväzku alebo po dodaní časti tovaru resp. služby, ktoré je definovaná v bode 1. tohto článku.</w:t>
      </w:r>
    </w:p>
    <w:bookmarkEnd w:id="1"/>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4148E58F"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249B745F" w14:textId="77777777" w:rsidR="006A510E" w:rsidRDefault="006A510E" w:rsidP="006A510E">
      <w:pPr>
        <w:pStyle w:val="Odsekzoznamu"/>
        <w:spacing w:after="0" w:line="240" w:lineRule="auto"/>
        <w:ind w:left="360"/>
        <w:jc w:val="both"/>
        <w:rPr>
          <w:lang w:val="sk-SK"/>
        </w:rPr>
      </w:pPr>
    </w:p>
    <w:p w14:paraId="53076241" w14:textId="77777777" w:rsidR="0002206A" w:rsidRDefault="0002206A" w:rsidP="00DD7F34">
      <w:pPr>
        <w:spacing w:after="0" w:line="240" w:lineRule="auto"/>
        <w:jc w:val="center"/>
        <w:rPr>
          <w:b/>
          <w:lang w:val="sk-SK"/>
        </w:rPr>
      </w:pPr>
    </w:p>
    <w:p w14:paraId="10922D6B" w14:textId="77777777" w:rsidR="0002206A" w:rsidRDefault="0002206A" w:rsidP="00DD7F34">
      <w:pPr>
        <w:spacing w:after="0" w:line="240" w:lineRule="auto"/>
        <w:jc w:val="center"/>
        <w:rPr>
          <w:b/>
          <w:lang w:val="sk-SK"/>
        </w:rPr>
      </w:pPr>
    </w:p>
    <w:p w14:paraId="6A030F19" w14:textId="5D513CB1" w:rsidR="00DD7F34" w:rsidRDefault="00DD7F34" w:rsidP="00DD7F34">
      <w:pPr>
        <w:spacing w:after="0" w:line="240" w:lineRule="auto"/>
        <w:jc w:val="center"/>
        <w:rPr>
          <w:b/>
          <w:lang w:val="sk-SK"/>
        </w:rPr>
      </w:pPr>
      <w:r>
        <w:rPr>
          <w:b/>
          <w:lang w:val="sk-SK"/>
        </w:rPr>
        <w:lastRenderedPageBreak/>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36468706"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01EF6955" w14:textId="77777777" w:rsidR="00D11B06" w:rsidRDefault="00D11B06" w:rsidP="00D11B06">
      <w:pPr>
        <w:spacing w:after="0" w:line="240" w:lineRule="auto"/>
        <w:jc w:val="both"/>
        <w:rPr>
          <w:lang w:val="sk-SK"/>
        </w:rPr>
      </w:pPr>
    </w:p>
    <w:p w14:paraId="1A4478AC" w14:textId="77777777" w:rsidR="00AA1508" w:rsidRDefault="00AA1508" w:rsidP="00D11B06">
      <w:pPr>
        <w:spacing w:after="0" w:line="240" w:lineRule="auto"/>
        <w:jc w:val="center"/>
        <w:rPr>
          <w:b/>
          <w:lang w:val="sk-SK"/>
        </w:rPr>
      </w:pPr>
    </w:p>
    <w:p w14:paraId="58A8A40A" w14:textId="5240C7F9" w:rsidR="00D11B06" w:rsidRDefault="00D11B06" w:rsidP="00D11B06">
      <w:pPr>
        <w:spacing w:after="0" w:line="240" w:lineRule="auto"/>
        <w:jc w:val="center"/>
        <w:rPr>
          <w:b/>
          <w:lang w:val="sk-SK"/>
        </w:rPr>
      </w:pPr>
      <w:r>
        <w:rPr>
          <w:b/>
          <w:lang w:val="sk-SK"/>
        </w:rPr>
        <w:lastRenderedPageBreak/>
        <w:t>Článok IX.</w:t>
      </w:r>
    </w:p>
    <w:p w14:paraId="58A9FC62" w14:textId="77777777" w:rsidR="00D11B06" w:rsidRDefault="00D11B06" w:rsidP="00D11B06">
      <w:pPr>
        <w:spacing w:after="0" w:line="240" w:lineRule="auto"/>
        <w:jc w:val="center"/>
        <w:rPr>
          <w:b/>
          <w:lang w:val="sk-SK"/>
        </w:rPr>
      </w:pPr>
      <w:r>
        <w:rPr>
          <w:b/>
          <w:lang w:val="sk-SK"/>
        </w:rPr>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6C5FDF6F" w14:textId="77777777" w:rsidR="008C261D" w:rsidRDefault="008C261D" w:rsidP="008C261D">
      <w:pPr>
        <w:spacing w:after="0" w:line="240" w:lineRule="auto"/>
        <w:jc w:val="both"/>
        <w:rPr>
          <w:lang w:val="sk-SK"/>
        </w:rPr>
      </w:pPr>
    </w:p>
    <w:p w14:paraId="1A8F40E5" w14:textId="77777777" w:rsidR="00F8428B" w:rsidRDefault="00F8428B" w:rsidP="008C261D">
      <w:pPr>
        <w:spacing w:after="0" w:line="240" w:lineRule="auto"/>
        <w:jc w:val="center"/>
        <w:rPr>
          <w:b/>
          <w:lang w:val="sk-SK"/>
        </w:rPr>
      </w:pPr>
    </w:p>
    <w:p w14:paraId="52136B39" w14:textId="77777777" w:rsidR="00F8428B" w:rsidRDefault="00F8428B" w:rsidP="008C261D">
      <w:pPr>
        <w:spacing w:after="0" w:line="240" w:lineRule="auto"/>
        <w:jc w:val="center"/>
        <w:rPr>
          <w:b/>
          <w:lang w:val="sk-SK"/>
        </w:rPr>
      </w:pPr>
    </w:p>
    <w:p w14:paraId="350B9126" w14:textId="04B94186"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696F17CD" w14:textId="77777777"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Po nadobudnutí účinnosti zmluvy do </w:t>
      </w:r>
      <w:r w:rsidR="00044E40">
        <w:rPr>
          <w:lang w:val="sk-SK"/>
        </w:rPr>
        <w:t>3</w:t>
      </w:r>
      <w:r w:rsidR="001728F7">
        <w:rPr>
          <w:lang w:val="sk-SK"/>
        </w:rPr>
        <w:t xml:space="preserve"> kalendárnych dní vystaví kupujúci objednávku dodávateľovi a predávajúci mu túto písomne/elektronicky potvrdí.</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52E5108D" w:rsidR="001728F7" w:rsidRDefault="001728F7" w:rsidP="001728F7">
      <w:pPr>
        <w:spacing w:after="0" w:line="240" w:lineRule="auto"/>
        <w:jc w:val="both"/>
        <w:rPr>
          <w:lang w:val="sk-SK"/>
        </w:rPr>
      </w:pPr>
    </w:p>
    <w:p w14:paraId="38B8D148" w14:textId="25418BC1" w:rsidR="0002206A" w:rsidRDefault="0002206A" w:rsidP="001728F7">
      <w:pPr>
        <w:spacing w:after="0" w:line="240" w:lineRule="auto"/>
        <w:jc w:val="both"/>
        <w:rPr>
          <w:lang w:val="sk-SK"/>
        </w:rPr>
      </w:pPr>
    </w:p>
    <w:p w14:paraId="5E9B215C" w14:textId="005BB3BF" w:rsidR="0002206A" w:rsidRDefault="0002206A" w:rsidP="001728F7">
      <w:pPr>
        <w:spacing w:after="0" w:line="240" w:lineRule="auto"/>
        <w:jc w:val="both"/>
        <w:rPr>
          <w:lang w:val="sk-SK"/>
        </w:rPr>
      </w:pPr>
    </w:p>
    <w:p w14:paraId="590B5A63" w14:textId="2397640E" w:rsidR="0002206A" w:rsidRDefault="0002206A" w:rsidP="001728F7">
      <w:pPr>
        <w:spacing w:after="0" w:line="240" w:lineRule="auto"/>
        <w:jc w:val="both"/>
        <w:rPr>
          <w:lang w:val="sk-SK"/>
        </w:rPr>
      </w:pPr>
    </w:p>
    <w:p w14:paraId="01E63805" w14:textId="77777777" w:rsidR="0002206A" w:rsidRDefault="0002206A" w:rsidP="001728F7">
      <w:pPr>
        <w:spacing w:after="0" w:line="240" w:lineRule="auto"/>
        <w:jc w:val="both"/>
        <w:rPr>
          <w:lang w:val="sk-SK"/>
        </w:rPr>
      </w:pPr>
    </w:p>
    <w:p w14:paraId="087F1032" w14:textId="77FFBD81" w:rsidR="00186B48" w:rsidRDefault="00186B48" w:rsidP="001728F7">
      <w:pPr>
        <w:spacing w:after="0" w:line="240" w:lineRule="auto"/>
        <w:jc w:val="both"/>
        <w:rPr>
          <w:lang w:val="sk-SK"/>
        </w:rPr>
      </w:pPr>
    </w:p>
    <w:p w14:paraId="2915E5B8" w14:textId="481A84F5" w:rsidR="0002206A" w:rsidRDefault="0002206A" w:rsidP="001728F7">
      <w:pPr>
        <w:spacing w:after="0" w:line="240" w:lineRule="auto"/>
        <w:jc w:val="both"/>
        <w:rPr>
          <w:lang w:val="sk-SK"/>
        </w:rPr>
      </w:pPr>
    </w:p>
    <w:p w14:paraId="3C6B7EED" w14:textId="77777777" w:rsidR="0002206A" w:rsidRDefault="0002206A" w:rsidP="001728F7">
      <w:pPr>
        <w:spacing w:after="0" w:line="240" w:lineRule="auto"/>
        <w:jc w:val="both"/>
        <w:rPr>
          <w:lang w:val="sk-SK"/>
        </w:rPr>
      </w:pPr>
    </w:p>
    <w:p w14:paraId="0C81AD2A"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65DCEECF" w14:textId="77777777" w:rsidR="001728F7" w:rsidRDefault="001728F7" w:rsidP="001728F7">
      <w:pPr>
        <w:spacing w:after="0" w:line="240" w:lineRule="auto"/>
        <w:rPr>
          <w:lang w:val="sk-SK"/>
        </w:rPr>
      </w:pPr>
    </w:p>
    <w:p w14:paraId="67C27122" w14:textId="77777777" w:rsidR="001728F7" w:rsidRDefault="001728F7" w:rsidP="001728F7">
      <w:pPr>
        <w:spacing w:after="0" w:line="240" w:lineRule="auto"/>
        <w:rPr>
          <w:lang w:val="sk-SK"/>
        </w:rPr>
      </w:pP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r>
              <w:rPr>
                <w:lang w:val="sk-SK"/>
              </w:rPr>
              <w:t>P.č.</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C95E4" w14:textId="77777777" w:rsidR="00DF4D9D" w:rsidRDefault="00DF4D9D" w:rsidP="00203040">
      <w:pPr>
        <w:spacing w:after="0" w:line="240" w:lineRule="auto"/>
      </w:pPr>
      <w:r>
        <w:separator/>
      </w:r>
    </w:p>
  </w:endnote>
  <w:endnote w:type="continuationSeparator" w:id="0">
    <w:p w14:paraId="6BFCAAC1" w14:textId="77777777" w:rsidR="00DF4D9D" w:rsidRDefault="00DF4D9D"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053B7" w14:textId="77777777" w:rsidR="00DF4D9D" w:rsidRDefault="00DF4D9D" w:rsidP="00203040">
      <w:pPr>
        <w:spacing w:after="0" w:line="240" w:lineRule="auto"/>
      </w:pPr>
      <w:r>
        <w:separator/>
      </w:r>
    </w:p>
  </w:footnote>
  <w:footnote w:type="continuationSeparator" w:id="0">
    <w:p w14:paraId="3610D9C4" w14:textId="77777777" w:rsidR="00DF4D9D" w:rsidRDefault="00DF4D9D"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2206A"/>
    <w:rsid w:val="00044E40"/>
    <w:rsid w:val="0008387A"/>
    <w:rsid w:val="0009142E"/>
    <w:rsid w:val="001023B8"/>
    <w:rsid w:val="00132E5C"/>
    <w:rsid w:val="001728F7"/>
    <w:rsid w:val="00186B48"/>
    <w:rsid w:val="001E1124"/>
    <w:rsid w:val="00203040"/>
    <w:rsid w:val="002057B4"/>
    <w:rsid w:val="0020758E"/>
    <w:rsid w:val="002528C5"/>
    <w:rsid w:val="002E64BA"/>
    <w:rsid w:val="0030647C"/>
    <w:rsid w:val="00367818"/>
    <w:rsid w:val="00381A86"/>
    <w:rsid w:val="003A642D"/>
    <w:rsid w:val="003D443C"/>
    <w:rsid w:val="00433F54"/>
    <w:rsid w:val="004E55AF"/>
    <w:rsid w:val="005221B2"/>
    <w:rsid w:val="00531EFB"/>
    <w:rsid w:val="005815F5"/>
    <w:rsid w:val="006059ED"/>
    <w:rsid w:val="00611EC2"/>
    <w:rsid w:val="006639E6"/>
    <w:rsid w:val="0069193F"/>
    <w:rsid w:val="006A510E"/>
    <w:rsid w:val="00703B9B"/>
    <w:rsid w:val="00733E93"/>
    <w:rsid w:val="00747709"/>
    <w:rsid w:val="00773BFA"/>
    <w:rsid w:val="007829CE"/>
    <w:rsid w:val="00787C38"/>
    <w:rsid w:val="007B7A36"/>
    <w:rsid w:val="00862D04"/>
    <w:rsid w:val="00862F04"/>
    <w:rsid w:val="008A142F"/>
    <w:rsid w:val="008C261D"/>
    <w:rsid w:val="008D4870"/>
    <w:rsid w:val="008E30B9"/>
    <w:rsid w:val="00935639"/>
    <w:rsid w:val="0094046B"/>
    <w:rsid w:val="00A42ABE"/>
    <w:rsid w:val="00A52D86"/>
    <w:rsid w:val="00AA0FF2"/>
    <w:rsid w:val="00AA1508"/>
    <w:rsid w:val="00B17A05"/>
    <w:rsid w:val="00B425F1"/>
    <w:rsid w:val="00B517AD"/>
    <w:rsid w:val="00B522A6"/>
    <w:rsid w:val="00BC1BA6"/>
    <w:rsid w:val="00C91DEE"/>
    <w:rsid w:val="00CC4401"/>
    <w:rsid w:val="00D11B06"/>
    <w:rsid w:val="00D51DCC"/>
    <w:rsid w:val="00DA4F13"/>
    <w:rsid w:val="00DD7F34"/>
    <w:rsid w:val="00DF4D9D"/>
    <w:rsid w:val="00DF6AB2"/>
    <w:rsid w:val="00E20CB8"/>
    <w:rsid w:val="00E300A2"/>
    <w:rsid w:val="00E37697"/>
    <w:rsid w:val="00E53347"/>
    <w:rsid w:val="00EF3010"/>
    <w:rsid w:val="00EF5C0A"/>
    <w:rsid w:val="00F656F6"/>
    <w:rsid w:val="00F8428B"/>
    <w:rsid w:val="00FA5100"/>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2003</Words>
  <Characters>11423</Characters>
  <Application>Microsoft Office Word</Application>
  <DocSecurity>0</DocSecurity>
  <Lines>95</Lines>
  <Paragraphs>26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3</cp:revision>
  <dcterms:created xsi:type="dcterms:W3CDTF">2023-04-13T12:53:00Z</dcterms:created>
  <dcterms:modified xsi:type="dcterms:W3CDTF">2023-04-14T07:57:00Z</dcterms:modified>
</cp:coreProperties>
</file>