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068F1" w14:textId="2175CABD" w:rsidR="00FC6442" w:rsidRDefault="00A63ADD" w:rsidP="00FC6442">
      <w:pPr>
        <w:ind w:left="720" w:hanging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9269869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Revízorské čítačky</w:t>
      </w:r>
    </w:p>
    <w:p w14:paraId="0BF209B9" w14:textId="77777777" w:rsidR="00C76CAB" w:rsidRPr="000D57E9" w:rsidRDefault="00C76CAB" w:rsidP="00FC6442">
      <w:pPr>
        <w:ind w:left="720" w:hanging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068B8B" w14:textId="62D0E89F" w:rsidR="00FC6442" w:rsidRPr="000D57E9" w:rsidRDefault="009D71DF" w:rsidP="00FC64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Použité s</w:t>
      </w:r>
      <w:r w:rsidR="00FC6442"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kratky</w:t>
      </w:r>
    </w:p>
    <w:tbl>
      <w:tblPr>
        <w:tblStyle w:val="Mriekatabuky"/>
        <w:tblW w:w="9076" w:type="dxa"/>
        <w:tblInd w:w="-5" w:type="dxa"/>
        <w:tblLook w:val="04A0" w:firstRow="1" w:lastRow="0" w:firstColumn="1" w:lastColumn="0" w:noHBand="0" w:noVBand="1"/>
      </w:tblPr>
      <w:tblGrid>
        <w:gridCol w:w="1046"/>
        <w:gridCol w:w="8030"/>
      </w:tblGrid>
      <w:tr w:rsidR="00FC6442" w:rsidRPr="000D57E9" w14:paraId="72F84C3C" w14:textId="77777777" w:rsidTr="00F57997">
        <w:trPr>
          <w:trHeight w:val="287"/>
        </w:trPr>
        <w:tc>
          <w:tcPr>
            <w:tcW w:w="1046" w:type="dxa"/>
          </w:tcPr>
          <w:p w14:paraId="58240A7E" w14:textId="77777777" w:rsidR="00FC6442" w:rsidRPr="000D57E9" w:rsidRDefault="00FC6442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94614463"/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Skratka</w:t>
            </w:r>
          </w:p>
        </w:tc>
        <w:tc>
          <w:tcPr>
            <w:tcW w:w="8030" w:type="dxa"/>
          </w:tcPr>
          <w:p w14:paraId="79B36A0C" w14:textId="77777777" w:rsidR="00FC6442" w:rsidRPr="000D57E9" w:rsidRDefault="00FC6442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Popis</w:t>
            </w:r>
          </w:p>
        </w:tc>
      </w:tr>
      <w:tr w:rsidR="00FC6442" w:rsidRPr="000D57E9" w14:paraId="2CDC6E00" w14:textId="77777777" w:rsidTr="00F57997">
        <w:trPr>
          <w:trHeight w:val="271"/>
        </w:trPr>
        <w:tc>
          <w:tcPr>
            <w:tcW w:w="1046" w:type="dxa"/>
          </w:tcPr>
          <w:p w14:paraId="3A919FFE" w14:textId="77777777" w:rsidR="00FC6442" w:rsidRPr="000D57E9" w:rsidRDefault="00FC6442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BČK</w:t>
            </w:r>
          </w:p>
        </w:tc>
        <w:tc>
          <w:tcPr>
            <w:tcW w:w="8030" w:type="dxa"/>
          </w:tcPr>
          <w:p w14:paraId="7FB3B966" w14:textId="77777777" w:rsidR="00FC6442" w:rsidRPr="000D57E9" w:rsidRDefault="00FC6442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Bezkontaktná čipová karta</w:t>
            </w:r>
          </w:p>
        </w:tc>
      </w:tr>
      <w:tr w:rsidR="00FC6442" w:rsidRPr="000D57E9" w14:paraId="32621AAC" w14:textId="77777777" w:rsidTr="00F57997">
        <w:trPr>
          <w:trHeight w:val="287"/>
        </w:trPr>
        <w:tc>
          <w:tcPr>
            <w:tcW w:w="1046" w:type="dxa"/>
          </w:tcPr>
          <w:p w14:paraId="1F74B7DD" w14:textId="77777777" w:rsidR="00FC6442" w:rsidRPr="000D57E9" w:rsidRDefault="00FC6442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BID</w:t>
            </w:r>
          </w:p>
        </w:tc>
        <w:tc>
          <w:tcPr>
            <w:tcW w:w="8030" w:type="dxa"/>
          </w:tcPr>
          <w:p w14:paraId="5BBE6629" w14:textId="6E8057BF" w:rsidR="00FC6442" w:rsidRPr="000D57E9" w:rsidRDefault="00FC6442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Bratislavská integrovaná doprava</w:t>
            </w:r>
            <w:r w:rsidR="000B05CE" w:rsidRPr="00161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a. s.</w:t>
            </w:r>
          </w:p>
        </w:tc>
      </w:tr>
      <w:tr w:rsidR="002B2A9F" w:rsidRPr="000D57E9" w14:paraId="4285CDFC" w14:textId="77777777" w:rsidTr="00F57997">
        <w:trPr>
          <w:trHeight w:val="271"/>
        </w:trPr>
        <w:tc>
          <w:tcPr>
            <w:tcW w:w="1046" w:type="dxa"/>
          </w:tcPr>
          <w:p w14:paraId="2EB3D2ED" w14:textId="16D32B05" w:rsidR="002B2A9F" w:rsidRPr="000D57E9" w:rsidRDefault="002B2A9F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BPK</w:t>
            </w:r>
          </w:p>
        </w:tc>
        <w:tc>
          <w:tcPr>
            <w:tcW w:w="8030" w:type="dxa"/>
          </w:tcPr>
          <w:p w14:paraId="43AF98CD" w14:textId="3A220CD7" w:rsidR="002B2A9F" w:rsidRPr="000D57E9" w:rsidRDefault="002B2A9F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Bezkontaktná platobná karta</w:t>
            </w:r>
          </w:p>
        </w:tc>
      </w:tr>
      <w:tr w:rsidR="000B05CE" w:rsidRPr="000D57E9" w14:paraId="1CEC0065" w14:textId="77777777" w:rsidTr="00F57997">
        <w:trPr>
          <w:trHeight w:val="271"/>
        </w:trPr>
        <w:tc>
          <w:tcPr>
            <w:tcW w:w="1046" w:type="dxa"/>
          </w:tcPr>
          <w:p w14:paraId="5D79A7F3" w14:textId="77777777" w:rsidR="000B05CE" w:rsidRPr="000D57E9" w:rsidRDefault="000B05CE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eCL</w:t>
            </w:r>
            <w:proofErr w:type="spellEnd"/>
          </w:p>
        </w:tc>
        <w:tc>
          <w:tcPr>
            <w:tcW w:w="8030" w:type="dxa"/>
          </w:tcPr>
          <w:p w14:paraId="1F2D0380" w14:textId="77777777" w:rsidR="000B05CE" w:rsidRPr="000D57E9" w:rsidRDefault="000B05CE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Jednorazový elektronický cestovný lístok</w:t>
            </w:r>
          </w:p>
        </w:tc>
      </w:tr>
      <w:tr w:rsidR="002B2A9F" w:rsidRPr="000D57E9" w14:paraId="5E9B6232" w14:textId="77777777" w:rsidTr="00F57997">
        <w:trPr>
          <w:trHeight w:val="271"/>
        </w:trPr>
        <w:tc>
          <w:tcPr>
            <w:tcW w:w="1046" w:type="dxa"/>
          </w:tcPr>
          <w:p w14:paraId="39F51598" w14:textId="77777777" w:rsidR="002B2A9F" w:rsidRPr="000D57E9" w:rsidRDefault="002B2A9F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8030" w:type="dxa"/>
          </w:tcPr>
          <w:p w14:paraId="0A4A473B" w14:textId="77777777" w:rsidR="002B2A9F" w:rsidRPr="000D57E9" w:rsidRDefault="002B2A9F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Elektronická peňaženka</w:t>
            </w:r>
          </w:p>
        </w:tc>
      </w:tr>
      <w:tr w:rsidR="002B2A9F" w:rsidRPr="000D57E9" w14:paraId="62425267" w14:textId="77777777" w:rsidTr="00F57997">
        <w:trPr>
          <w:trHeight w:val="287"/>
        </w:trPr>
        <w:tc>
          <w:tcPr>
            <w:tcW w:w="1046" w:type="dxa"/>
          </w:tcPr>
          <w:p w14:paraId="0A13081C" w14:textId="77777777" w:rsidR="002B2A9F" w:rsidRPr="000D57E9" w:rsidRDefault="002B2A9F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IDS BK</w:t>
            </w:r>
          </w:p>
        </w:tc>
        <w:tc>
          <w:tcPr>
            <w:tcW w:w="8030" w:type="dxa"/>
          </w:tcPr>
          <w:p w14:paraId="172ADBE3" w14:textId="0FD3BE51" w:rsidR="002B2A9F" w:rsidRPr="000D57E9" w:rsidRDefault="002B2A9F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Integrovaný dopravný systém </w:t>
            </w:r>
            <w:r w:rsidR="000B05CE"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Bratislavsk</w:t>
            </w:r>
            <w:r w:rsidR="000B05CE"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</w:t>
            </w: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kraj</w:t>
            </w:r>
            <w:r w:rsidR="000B05CE"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2B2A9F" w:rsidRPr="000D57E9" w14:paraId="02D2074F" w14:textId="77777777" w:rsidTr="00F57997">
        <w:trPr>
          <w:trHeight w:val="287"/>
        </w:trPr>
        <w:tc>
          <w:tcPr>
            <w:tcW w:w="1046" w:type="dxa"/>
          </w:tcPr>
          <w:p w14:paraId="67BBE7FB" w14:textId="77777777" w:rsidR="002B2A9F" w:rsidRPr="000D57E9" w:rsidRDefault="002B2A9F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KOCL</w:t>
            </w:r>
          </w:p>
        </w:tc>
        <w:tc>
          <w:tcPr>
            <w:tcW w:w="8030" w:type="dxa"/>
          </w:tcPr>
          <w:p w14:paraId="2EBF7AAD" w14:textId="77777777" w:rsidR="002B2A9F" w:rsidRPr="000D57E9" w:rsidRDefault="002B2A9F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Kombinovaný označovač cestovných lístkov</w:t>
            </w:r>
          </w:p>
        </w:tc>
      </w:tr>
      <w:tr w:rsidR="002B2A9F" w:rsidRPr="000D57E9" w14:paraId="238C7BDA" w14:textId="77777777" w:rsidTr="00F57997">
        <w:trPr>
          <w:trHeight w:val="271"/>
        </w:trPr>
        <w:tc>
          <w:tcPr>
            <w:tcW w:w="1046" w:type="dxa"/>
          </w:tcPr>
          <w:p w14:paraId="65789113" w14:textId="77777777" w:rsidR="002B2A9F" w:rsidRPr="000D57E9" w:rsidRDefault="002B2A9F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PCL</w:t>
            </w:r>
          </w:p>
        </w:tc>
        <w:tc>
          <w:tcPr>
            <w:tcW w:w="8030" w:type="dxa"/>
          </w:tcPr>
          <w:p w14:paraId="5D626A14" w14:textId="77777777" w:rsidR="002B2A9F" w:rsidRPr="000D57E9" w:rsidRDefault="002B2A9F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Predplatný cestovný lístok</w:t>
            </w:r>
          </w:p>
        </w:tc>
      </w:tr>
      <w:tr w:rsidR="002B2A9F" w:rsidRPr="000D57E9" w14:paraId="2D1C30BB" w14:textId="77777777" w:rsidTr="00F57997">
        <w:trPr>
          <w:trHeight w:val="271"/>
        </w:trPr>
        <w:tc>
          <w:tcPr>
            <w:tcW w:w="1046" w:type="dxa"/>
          </w:tcPr>
          <w:p w14:paraId="5E44A6D5" w14:textId="77777777" w:rsidR="002B2A9F" w:rsidRPr="000D57E9" w:rsidRDefault="002B2A9F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TAP</w:t>
            </w:r>
          </w:p>
        </w:tc>
        <w:tc>
          <w:tcPr>
            <w:tcW w:w="8030" w:type="dxa"/>
          </w:tcPr>
          <w:p w14:paraId="0AC11A57" w14:textId="77777777" w:rsidR="002B2A9F" w:rsidRPr="000D57E9" w:rsidRDefault="002B2A9F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Priloženie BPK ku KOCL za účelom evidencie jazdy</w:t>
            </w:r>
          </w:p>
        </w:tc>
      </w:tr>
      <w:tr w:rsidR="00AF3057" w:rsidRPr="000D57E9" w14:paraId="070D4642" w14:textId="77777777" w:rsidTr="00F57997">
        <w:trPr>
          <w:trHeight w:val="271"/>
        </w:trPr>
        <w:tc>
          <w:tcPr>
            <w:tcW w:w="1046" w:type="dxa"/>
          </w:tcPr>
          <w:p w14:paraId="3739BA14" w14:textId="264B0CBC" w:rsidR="00AF3057" w:rsidRPr="000D57E9" w:rsidRDefault="00AF3057" w:rsidP="00F579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VDK</w:t>
            </w:r>
          </w:p>
        </w:tc>
        <w:tc>
          <w:tcPr>
            <w:tcW w:w="8030" w:type="dxa"/>
          </w:tcPr>
          <w:p w14:paraId="3CA452E7" w14:textId="7AEF8193" w:rsidR="00AF3057" w:rsidRPr="000D57E9" w:rsidRDefault="00AF3057" w:rsidP="00F57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Virtuálna dopravná karta</w:t>
            </w:r>
          </w:p>
        </w:tc>
      </w:tr>
      <w:bookmarkEnd w:id="0"/>
      <w:bookmarkEnd w:id="1"/>
    </w:tbl>
    <w:p w14:paraId="2B21A3E4" w14:textId="77777777" w:rsidR="00FC6442" w:rsidRPr="000D57E9" w:rsidRDefault="00FC6442" w:rsidP="00FC6442">
      <w:pPr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0A821" w14:textId="3296FA87" w:rsidR="00FF4C64" w:rsidRDefault="00FF4C64" w:rsidP="00FC64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Prílohy</w:t>
      </w:r>
    </w:p>
    <w:p w14:paraId="00CEF511" w14:textId="369AD89F" w:rsidR="00FF4C64" w:rsidRDefault="00FF4C64" w:rsidP="00FF4C64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184">
        <w:rPr>
          <w:rFonts w:ascii="Times New Roman" w:hAnsi="Times New Roman" w:cs="Times New Roman"/>
          <w:color w:val="000000" w:themeColor="text1"/>
          <w:sz w:val="24"/>
          <w:szCs w:val="24"/>
        </w:rPr>
        <w:t>Príloha č. 1 – Technické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80184">
        <w:rPr>
          <w:rFonts w:ascii="Times New Roman" w:hAnsi="Times New Roman" w:cs="Times New Roman"/>
          <w:color w:val="000000" w:themeColor="text1"/>
          <w:sz w:val="24"/>
          <w:szCs w:val="24"/>
        </w:rPr>
        <w:t>prevádzkové štandardy IDS BK.pdf</w:t>
      </w:r>
    </w:p>
    <w:p w14:paraId="79094B6B" w14:textId="0FB9C588" w:rsidR="00FF4C64" w:rsidRDefault="00FF4C64" w:rsidP="00FF4C64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č. 2 </w:t>
      </w:r>
      <w:r w:rsidR="008E2F1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F17">
        <w:rPr>
          <w:rFonts w:ascii="Times New Roman" w:hAnsi="Times New Roman" w:cs="Times New Roman"/>
          <w:color w:val="000000" w:themeColor="text1"/>
          <w:sz w:val="24"/>
          <w:szCs w:val="24"/>
        </w:rPr>
        <w:t>Štandard finančných tokov 202111.pdf</w:t>
      </w:r>
    </w:p>
    <w:p w14:paraId="50E18261" w14:textId="5383887D" w:rsidR="001C59A8" w:rsidRDefault="001C59A8" w:rsidP="00F356D3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č. </w:t>
      </w:r>
      <w:r w:rsidR="000973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</w:t>
      </w:r>
      <w:r w:rsidRPr="001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procesu </w:t>
      </w:r>
      <w:proofErr w:type="spellStart"/>
      <w:r w:rsidRPr="001C59A8">
        <w:rPr>
          <w:rFonts w:ascii="Times New Roman" w:hAnsi="Times New Roman" w:cs="Times New Roman"/>
          <w:color w:val="000000" w:themeColor="text1"/>
          <w:sz w:val="24"/>
          <w:szCs w:val="24"/>
        </w:rPr>
        <w:t>TAPovania</w:t>
      </w:r>
      <w:proofErr w:type="spellEnd"/>
      <w:r w:rsidRPr="001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BPK v</w:t>
      </w:r>
      <w:r w:rsidR="00BD78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1C59A8">
        <w:rPr>
          <w:rFonts w:ascii="Times New Roman" w:hAnsi="Times New Roman" w:cs="Times New Roman"/>
          <w:color w:val="000000" w:themeColor="text1"/>
          <w:sz w:val="24"/>
          <w:szCs w:val="24"/>
        </w:rPr>
        <w:t>KOCL</w:t>
      </w:r>
      <w:r w:rsidR="00BD7855">
        <w:rPr>
          <w:rFonts w:ascii="Times New Roman" w:hAnsi="Times New Roman" w:cs="Times New Roman"/>
          <w:color w:val="000000" w:themeColor="text1"/>
          <w:sz w:val="24"/>
          <w:szCs w:val="24"/>
        </w:rPr>
        <w:t>.docx</w:t>
      </w:r>
      <w:proofErr w:type="spellEnd"/>
    </w:p>
    <w:p w14:paraId="745A9C0E" w14:textId="4E6C0E9E" w:rsidR="00E77240" w:rsidRDefault="00E77240" w:rsidP="00E77240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č. </w:t>
      </w:r>
      <w:r w:rsidR="000973E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</w:t>
      </w:r>
      <w:r w:rsidRPr="001C5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fungovania virtuálnej dopravnej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karty.docx</w:t>
      </w:r>
      <w:proofErr w:type="spellEnd"/>
    </w:p>
    <w:p w14:paraId="2C4EE416" w14:textId="77777777" w:rsidR="00680184" w:rsidRDefault="00680184" w:rsidP="00FC64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0649EE" w14:textId="2F8A9F91" w:rsidR="00565619" w:rsidRPr="000D57E9" w:rsidRDefault="009D5512" w:rsidP="00FC64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</w:t>
      </w: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6442"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predmetu zákazky</w:t>
      </w:r>
      <w:r w:rsidR="00FC6442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87B855" w14:textId="696D7444" w:rsidR="00FC6442" w:rsidRPr="000D57E9" w:rsidRDefault="009D5512" w:rsidP="00AF1FF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55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Predmetom zákazky je „Dodanie, </w:t>
      </w:r>
      <w:r w:rsidR="00FA3E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inštalácia, </w:t>
      </w:r>
      <w:r w:rsidR="00555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údržba</w:t>
      </w:r>
      <w:r w:rsidR="00CA0F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55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 servis</w:t>
      </w:r>
      <w:r w:rsidR="00CA0F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prevádzkovanie</w:t>
      </w:r>
      <w:r w:rsidR="00555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revízorských čítačiek</w:t>
      </w:r>
      <w:r w:rsidR="001258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 umožňujúcich kontrolu tarifného vybavenia cestujúcich</w:t>
      </w:r>
      <w:r w:rsidR="005554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6442"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 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viazanosťou</w:t>
      </w:r>
      <w:r w:rsidR="00FC6442"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existujúce štandardy 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 špecifikácie kartových systémov</w:t>
      </w:r>
      <w:r w:rsidR="00FC6442"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B743C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Integrovaného dopravného systému v Bratislavskom kraji (ďalej len „IDS BK“)</w:t>
      </w:r>
      <w:r w:rsidR="00CA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kartových asociácií </w:t>
      </w:r>
      <w:r w:rsidR="000973E1">
        <w:rPr>
          <w:rFonts w:ascii="Times New Roman" w:hAnsi="Times New Roman" w:cs="Times New Roman"/>
          <w:color w:val="000000" w:themeColor="text1"/>
          <w:sz w:val="24"/>
          <w:szCs w:val="24"/>
        </w:rPr>
        <w:t>Visa</w:t>
      </w:r>
      <w:r w:rsidR="00CA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CA0F3A">
        <w:rPr>
          <w:rFonts w:ascii="Times New Roman" w:hAnsi="Times New Roman" w:cs="Times New Roman"/>
          <w:color w:val="000000" w:themeColor="text1"/>
          <w:sz w:val="24"/>
          <w:szCs w:val="24"/>
        </w:rPr>
        <w:t>MasterCard</w:t>
      </w:r>
      <w:proofErr w:type="spellEnd"/>
      <w:r w:rsidR="00565619"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F4C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Príslušné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špecifikácie aplikačného a prístrojového vybavenia,</w:t>
      </w:r>
      <w:r w:rsidR="00FF4C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technické</w:t>
      </w:r>
      <w:r w:rsidR="00BD78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kartové</w:t>
      </w:r>
      <w:r w:rsidR="00BD78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ostatné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F4C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štandardy sú uvedené v prílohách tohoto dokumentu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 na webovej stránke </w:t>
      </w:r>
      <w:hyperlink r:id="rId7" w:history="1">
        <w:r w:rsidR="00BD7855" w:rsidRPr="00E90455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www.idsbk.sk</w:t>
        </w:r>
      </w:hyperlink>
      <w:r w:rsidR="00BD78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Dodávateľ sa zaväzuje všetky uvedené štandardy a špecifikácie dodržať.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28C52FC" w14:textId="77777777" w:rsidR="00565619" w:rsidRPr="000D57E9" w:rsidRDefault="00565619" w:rsidP="00FC644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8B75D09" w14:textId="2BCAC3D8" w:rsidR="00FC6442" w:rsidRPr="000D57E9" w:rsidRDefault="00FC6442" w:rsidP="00FC64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Objednávateľ</w:t>
      </w:r>
      <w:r w:rsidR="009D5512">
        <w:rPr>
          <w:rFonts w:ascii="Times New Roman" w:hAnsi="Times New Roman" w:cs="Times New Roman"/>
          <w:color w:val="000000" w:themeColor="text1"/>
          <w:sz w:val="24"/>
          <w:szCs w:val="24"/>
        </w:rPr>
        <w:t>ská organizácia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záujem o poskytnutie služieb súvisiacich s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bezporuchovým 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prevádzkovaním funkčn</w:t>
      </w:r>
      <w:r w:rsidR="00125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ých revízorských čítačiek, </w:t>
      </w:r>
      <w:r w:rsidR="00A86026">
        <w:rPr>
          <w:rFonts w:ascii="Times New Roman" w:hAnsi="Times New Roman" w:cs="Times New Roman"/>
          <w:color w:val="000000" w:themeColor="text1"/>
          <w:sz w:val="24"/>
          <w:szCs w:val="24"/>
        </w:rPr>
        <w:t>údržb</w:t>
      </w:r>
      <w:r w:rsidR="001258F2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A86026">
        <w:rPr>
          <w:rFonts w:ascii="Times New Roman" w:hAnsi="Times New Roman" w:cs="Times New Roman"/>
          <w:color w:val="000000" w:themeColor="text1"/>
          <w:sz w:val="24"/>
          <w:szCs w:val="24"/>
        </w:rPr>
        <w:t>, podpor</w:t>
      </w:r>
      <w:r w:rsidR="001258F2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A86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rozvoj</w:t>
      </w:r>
      <w:r w:rsidR="001258F2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aplikácií, ako aj ďalších služieb, ktoré umožnia: </w:t>
      </w:r>
    </w:p>
    <w:p w14:paraId="2C105E01" w14:textId="4E1AC284" w:rsidR="006E7DC4" w:rsidRPr="006E7DC4" w:rsidRDefault="00545410" w:rsidP="006E7DC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DC4">
        <w:rPr>
          <w:rFonts w:ascii="Times New Roman" w:hAnsi="Times New Roman" w:cs="Times New Roman"/>
          <w:sz w:val="24"/>
          <w:szCs w:val="24"/>
        </w:rPr>
        <w:t>kontrolu tarifného vybavenia cestujúcich</w:t>
      </w:r>
      <w:r w:rsidR="006E7DC4" w:rsidRPr="006E7DC4">
        <w:rPr>
          <w:rFonts w:ascii="Times New Roman" w:hAnsi="Times New Roman" w:cs="Times New Roman"/>
          <w:sz w:val="24"/>
          <w:szCs w:val="24"/>
        </w:rPr>
        <w:t>, pričom API rozhranie, špecifikáciu rozhrania alebo internetové linky /odkazy/ na jednotlivé služby poskytne dodávateľovi Objednávateľská organizácia</w:t>
      </w:r>
      <w:r w:rsidR="006E7DC4">
        <w:rPr>
          <w:rFonts w:ascii="Times New Roman" w:hAnsi="Times New Roman" w:cs="Times New Roman"/>
          <w:sz w:val="24"/>
          <w:szCs w:val="24"/>
        </w:rPr>
        <w:t>;</w:t>
      </w:r>
    </w:p>
    <w:p w14:paraId="4DEF5695" w14:textId="7497203B" w:rsidR="00CA0F3A" w:rsidRPr="00545410" w:rsidRDefault="00CA0F3A" w:rsidP="00915143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03C">
        <w:rPr>
          <w:rFonts w:ascii="Times New Roman" w:hAnsi="Times New Roman" w:cs="Times New Roman"/>
          <w:sz w:val="24"/>
          <w:szCs w:val="24"/>
        </w:rPr>
        <w:t xml:space="preserve">zápis </w:t>
      </w:r>
      <w:r>
        <w:rPr>
          <w:rFonts w:ascii="Times New Roman" w:hAnsi="Times New Roman" w:cs="Times New Roman"/>
          <w:sz w:val="24"/>
          <w:szCs w:val="24"/>
        </w:rPr>
        <w:t xml:space="preserve">predplatných cestovných lístkov (ďalej len „PCL“) a kreditu elektronickej peňaženky (ďalej len „EP“) </w:t>
      </w:r>
      <w:r w:rsidRPr="0079103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bezkontaktné čipové karty (ďalej len „</w:t>
      </w:r>
      <w:r w:rsidRPr="0079103C">
        <w:rPr>
          <w:rFonts w:ascii="Times New Roman" w:hAnsi="Times New Roman" w:cs="Times New Roman"/>
          <w:sz w:val="24"/>
          <w:szCs w:val="24"/>
        </w:rPr>
        <w:t>BČK</w:t>
      </w:r>
      <w:r>
        <w:rPr>
          <w:rFonts w:ascii="Times New Roman" w:hAnsi="Times New Roman" w:cs="Times New Roman"/>
          <w:sz w:val="24"/>
          <w:szCs w:val="24"/>
        </w:rPr>
        <w:t>“);</w:t>
      </w:r>
    </w:p>
    <w:p w14:paraId="49AEB1FF" w14:textId="77777777" w:rsidR="00CA0F3A" w:rsidRDefault="00CA0F3A" w:rsidP="006E7DC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automatizovaný prenos dát medzi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revízorskými čítačkami a 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systémami Objednávateľ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a/alebo tretích strán vo vopred dohodnutom formáte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rozsahu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(špecifikácia v prílohe)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9F3759" w14:textId="77777777" w:rsidR="00545410" w:rsidRPr="001258F2" w:rsidRDefault="00545410" w:rsidP="006E7DC4">
      <w:pPr>
        <w:pStyle w:val="Odsekzoznamu"/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9BDE1" w14:textId="43CF501D" w:rsidR="00FC6442" w:rsidRDefault="00FC6442" w:rsidP="00FC6442">
      <w:pPr>
        <w:pStyle w:val="Nadpis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Definície základných pojmov</w:t>
      </w:r>
    </w:p>
    <w:p w14:paraId="034130C5" w14:textId="57752C51" w:rsidR="00576721" w:rsidRDefault="00576721" w:rsidP="00576721">
      <w:pPr>
        <w:rPr>
          <w:lang w:eastAsia="cs-CZ"/>
        </w:rPr>
      </w:pPr>
    </w:p>
    <w:p w14:paraId="23094313" w14:textId="77777777" w:rsidR="00256099" w:rsidRPr="000D57E9" w:rsidRDefault="00256099" w:rsidP="00AF1FF0">
      <w:pPr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DA2F7" w14:textId="7D46E866" w:rsidR="00A74F4D" w:rsidRPr="000D57E9" w:rsidRDefault="00A74F4D" w:rsidP="00BD5DD3">
      <w:pPr>
        <w:spacing w:line="22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E9">
        <w:rPr>
          <w:rFonts w:ascii="Times New Roman" w:hAnsi="Times New Roman" w:cs="Times New Roman"/>
          <w:b/>
          <w:bCs/>
          <w:sz w:val="24"/>
          <w:szCs w:val="24"/>
        </w:rPr>
        <w:t xml:space="preserve">Pod pojmom </w:t>
      </w:r>
      <w:r w:rsidR="00D61173" w:rsidRPr="000D57E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5581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D57E9">
        <w:rPr>
          <w:rFonts w:ascii="Times New Roman" w:hAnsi="Times New Roman" w:cs="Times New Roman"/>
          <w:b/>
          <w:bCs/>
          <w:sz w:val="24"/>
          <w:szCs w:val="24"/>
        </w:rPr>
        <w:t>evízorsk</w:t>
      </w:r>
      <w:r w:rsidR="0085581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0D57E9">
        <w:rPr>
          <w:rFonts w:ascii="Times New Roman" w:hAnsi="Times New Roman" w:cs="Times New Roman"/>
          <w:b/>
          <w:bCs/>
          <w:sz w:val="24"/>
          <w:szCs w:val="24"/>
        </w:rPr>
        <w:t xml:space="preserve"> čítačk</w:t>
      </w:r>
      <w:r w:rsidR="00D04C6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61173" w:rsidRPr="000D57E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D57E9">
        <w:rPr>
          <w:rFonts w:ascii="Times New Roman" w:hAnsi="Times New Roman" w:cs="Times New Roman"/>
          <w:sz w:val="24"/>
          <w:szCs w:val="24"/>
        </w:rPr>
        <w:t xml:space="preserve"> sa rozumie </w:t>
      </w:r>
      <w:r w:rsidR="00F96371">
        <w:rPr>
          <w:rFonts w:ascii="Times New Roman" w:hAnsi="Times New Roman" w:cs="Times New Roman"/>
          <w:sz w:val="24"/>
          <w:szCs w:val="24"/>
        </w:rPr>
        <w:t xml:space="preserve">prenosné </w:t>
      </w:r>
      <w:r w:rsidR="006D2C78">
        <w:rPr>
          <w:rFonts w:ascii="Times New Roman" w:hAnsi="Times New Roman" w:cs="Times New Roman"/>
          <w:sz w:val="24"/>
          <w:szCs w:val="24"/>
        </w:rPr>
        <w:t xml:space="preserve">zariadenie </w:t>
      </w:r>
      <w:r w:rsidR="00F96371">
        <w:rPr>
          <w:rFonts w:ascii="Times New Roman" w:hAnsi="Times New Roman" w:cs="Times New Roman"/>
          <w:color w:val="000000" w:themeColor="text1"/>
          <w:sz w:val="24"/>
          <w:szCs w:val="24"/>
        </w:rPr>
        <w:t>s LTE modulom, POS terminálom a prenosnou tlačiarňou potvrdení o platbe bezdrôtovo spojenou s </w:t>
      </w:r>
      <w:r w:rsidR="00F96371">
        <w:rPr>
          <w:rFonts w:ascii="Times New Roman" w:hAnsi="Times New Roman" w:cs="Times New Roman"/>
          <w:sz w:val="24"/>
          <w:szCs w:val="24"/>
        </w:rPr>
        <w:t>týmto zariadením. Jednotlivé časti sú napájané integrovanými batériami.</w:t>
      </w:r>
      <w:r w:rsidR="006D2C78" w:rsidRPr="000D57E9">
        <w:rPr>
          <w:rFonts w:ascii="Times New Roman" w:hAnsi="Times New Roman" w:cs="Times New Roman"/>
          <w:sz w:val="24"/>
          <w:szCs w:val="24"/>
        </w:rPr>
        <w:t xml:space="preserve"> </w:t>
      </w:r>
      <w:r w:rsidR="00F96371">
        <w:rPr>
          <w:rFonts w:ascii="Times New Roman" w:hAnsi="Times New Roman" w:cs="Times New Roman"/>
          <w:sz w:val="24"/>
          <w:szCs w:val="24"/>
        </w:rPr>
        <w:t xml:space="preserve">Zariadenie ďalej obsahuje </w:t>
      </w:r>
      <w:r w:rsidRPr="000D57E9">
        <w:rPr>
          <w:rFonts w:ascii="Times New Roman" w:hAnsi="Times New Roman" w:cs="Times New Roman"/>
          <w:sz w:val="24"/>
          <w:szCs w:val="24"/>
        </w:rPr>
        <w:t xml:space="preserve">software, ktorý poskytuje povereným osobám komunikačné rozhranie potrebné na výkon </w:t>
      </w:r>
      <w:bookmarkStart w:id="2" w:name="_Hlk92968434"/>
      <w:r w:rsidRPr="000D57E9">
        <w:rPr>
          <w:rFonts w:ascii="Times New Roman" w:hAnsi="Times New Roman" w:cs="Times New Roman"/>
          <w:sz w:val="24"/>
          <w:szCs w:val="24"/>
        </w:rPr>
        <w:t>kontroly tarifného vybavenia cestujúcich</w:t>
      </w:r>
      <w:bookmarkEnd w:id="2"/>
      <w:r w:rsidR="0085581C">
        <w:rPr>
          <w:rFonts w:ascii="Times New Roman" w:hAnsi="Times New Roman" w:cs="Times New Roman"/>
          <w:sz w:val="24"/>
          <w:szCs w:val="24"/>
        </w:rPr>
        <w:t xml:space="preserve"> vo vozidlách</w:t>
      </w:r>
      <w:r w:rsidRPr="000D57E9">
        <w:rPr>
          <w:rFonts w:ascii="Times New Roman" w:hAnsi="Times New Roman" w:cs="Times New Roman"/>
          <w:sz w:val="24"/>
          <w:szCs w:val="24"/>
        </w:rPr>
        <w:t>. Zodpovedá za korektné vyhodnocovanie platnosti cestovného dokladu</w:t>
      </w:r>
      <w:r w:rsidR="00D61173" w:rsidRPr="000D57E9">
        <w:rPr>
          <w:rFonts w:ascii="Times New Roman" w:hAnsi="Times New Roman" w:cs="Times New Roman"/>
          <w:sz w:val="24"/>
          <w:szCs w:val="24"/>
        </w:rPr>
        <w:t>.</w:t>
      </w:r>
    </w:p>
    <w:p w14:paraId="6FCA5005" w14:textId="77777777" w:rsidR="00475225" w:rsidRPr="00AF1FF0" w:rsidRDefault="00475225" w:rsidP="00AF1FF0">
      <w:pPr>
        <w:spacing w:line="22" w:lineRule="atLeast"/>
        <w:contextualSpacing/>
      </w:pPr>
    </w:p>
    <w:p w14:paraId="42BD048C" w14:textId="792A4E6E" w:rsidR="00FC6442" w:rsidRDefault="00FC6442" w:rsidP="0014644C">
      <w:pPr>
        <w:spacing w:line="22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Pod pojmom </w:t>
      </w:r>
      <w:r w:rsidR="00CA7EDA"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SAM</w:t>
      </w:r>
      <w:r w:rsidR="00CA7EDA"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rozumie bezpečnostný modul slúžiaci na de/šifrovanie komunikácie medzi BČK</w:t>
      </w:r>
      <w:r w:rsidR="00334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</w:t>
      </w:r>
      <w:r w:rsidR="0014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676">
        <w:rPr>
          <w:rFonts w:ascii="Times New Roman" w:hAnsi="Times New Roman" w:cs="Times New Roman"/>
          <w:color w:val="000000" w:themeColor="text1"/>
          <w:sz w:val="24"/>
          <w:szCs w:val="24"/>
        </w:rPr>
        <w:t>virtuálnou dopravnou kartou (ďalej len „</w:t>
      </w:r>
      <w:r w:rsidR="0014644C">
        <w:rPr>
          <w:rFonts w:ascii="Times New Roman" w:hAnsi="Times New Roman" w:cs="Times New Roman"/>
          <w:color w:val="000000" w:themeColor="text1"/>
          <w:sz w:val="24"/>
          <w:szCs w:val="24"/>
        </w:rPr>
        <w:t>VDK</w:t>
      </w:r>
      <w:r w:rsidR="00A65676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zariadeniami, ktoré s</w:t>
      </w:r>
      <w:r w:rsidR="001464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BČK</w:t>
      </w:r>
      <w:r w:rsidR="0014644C">
        <w:rPr>
          <w:rFonts w:ascii="Times New Roman" w:hAnsi="Times New Roman" w:cs="Times New Roman"/>
          <w:color w:val="000000" w:themeColor="text1"/>
          <w:sz w:val="24"/>
          <w:szCs w:val="24"/>
        </w:rPr>
        <w:t>, VDK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komunikujú. </w:t>
      </w:r>
    </w:p>
    <w:p w14:paraId="7E57C939" w14:textId="77777777" w:rsidR="00475225" w:rsidRDefault="00475225" w:rsidP="00AF1FF0">
      <w:pPr>
        <w:spacing w:line="22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5537D" w14:textId="134D2C04" w:rsidR="009A5436" w:rsidRDefault="009A5436" w:rsidP="00B5553A">
      <w:pPr>
        <w:spacing w:line="22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E9">
        <w:rPr>
          <w:rFonts w:ascii="Times New Roman" w:hAnsi="Times New Roman" w:cs="Times New Roman"/>
          <w:b/>
          <w:bCs/>
          <w:sz w:val="24"/>
          <w:szCs w:val="24"/>
        </w:rPr>
        <w:t xml:space="preserve">Pod pojmom </w:t>
      </w:r>
      <w:r w:rsidR="00CA7EDA" w:rsidRPr="000D57E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D57E9">
        <w:rPr>
          <w:rFonts w:ascii="Times New Roman" w:hAnsi="Times New Roman" w:cs="Times New Roman"/>
          <w:b/>
          <w:bCs/>
          <w:sz w:val="24"/>
          <w:szCs w:val="24"/>
        </w:rPr>
        <w:t>POS terminál</w:t>
      </w:r>
      <w:r w:rsidR="00CA7EDA" w:rsidRPr="000D57E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D57E9">
        <w:rPr>
          <w:rFonts w:ascii="Times New Roman" w:hAnsi="Times New Roman" w:cs="Times New Roman"/>
          <w:sz w:val="24"/>
          <w:szCs w:val="24"/>
        </w:rPr>
        <w:t xml:space="preserve"> sa rozum</w:t>
      </w:r>
      <w:r w:rsidR="00FA3EA3">
        <w:rPr>
          <w:rFonts w:ascii="Times New Roman" w:hAnsi="Times New Roman" w:cs="Times New Roman"/>
          <w:sz w:val="24"/>
          <w:szCs w:val="24"/>
        </w:rPr>
        <w:t>ie</w:t>
      </w:r>
      <w:r w:rsidRPr="000D57E9">
        <w:rPr>
          <w:rFonts w:ascii="Times New Roman" w:hAnsi="Times New Roman" w:cs="Times New Roman"/>
          <w:sz w:val="24"/>
          <w:szCs w:val="24"/>
        </w:rPr>
        <w:t xml:space="preserve"> platob</w:t>
      </w:r>
      <w:r w:rsidR="00FA3EA3">
        <w:rPr>
          <w:rFonts w:ascii="Times New Roman" w:hAnsi="Times New Roman" w:cs="Times New Roman"/>
          <w:sz w:val="24"/>
          <w:szCs w:val="24"/>
        </w:rPr>
        <w:t>ný</w:t>
      </w:r>
      <w:r w:rsidRPr="000D57E9">
        <w:rPr>
          <w:rFonts w:ascii="Times New Roman" w:hAnsi="Times New Roman" w:cs="Times New Roman"/>
          <w:sz w:val="24"/>
          <w:szCs w:val="24"/>
        </w:rPr>
        <w:t xml:space="preserve"> terminál slúžiac</w:t>
      </w:r>
      <w:r w:rsidR="00FA3EA3">
        <w:rPr>
          <w:rFonts w:ascii="Times New Roman" w:hAnsi="Times New Roman" w:cs="Times New Roman"/>
          <w:sz w:val="24"/>
          <w:szCs w:val="24"/>
        </w:rPr>
        <w:t>i</w:t>
      </w:r>
      <w:r w:rsidRPr="000D57E9">
        <w:rPr>
          <w:rFonts w:ascii="Times New Roman" w:hAnsi="Times New Roman" w:cs="Times New Roman"/>
          <w:sz w:val="24"/>
          <w:szCs w:val="24"/>
        </w:rPr>
        <w:t xml:space="preserve"> na sprostredkovanie komunikácie medzi </w:t>
      </w:r>
      <w:r w:rsidR="00A65676">
        <w:rPr>
          <w:rFonts w:ascii="Times New Roman" w:hAnsi="Times New Roman" w:cs="Times New Roman"/>
          <w:sz w:val="24"/>
          <w:szCs w:val="24"/>
        </w:rPr>
        <w:t>bezkontaktnou platobnou kartou (ďalej len „BPK“)</w:t>
      </w:r>
      <w:r w:rsidR="006D2C78">
        <w:rPr>
          <w:rFonts w:ascii="Times New Roman" w:hAnsi="Times New Roman" w:cs="Times New Roman"/>
          <w:sz w:val="24"/>
          <w:szCs w:val="24"/>
        </w:rPr>
        <w:t>, revízorskou čítačkou a</w:t>
      </w:r>
      <w:r w:rsidRPr="000D57E9">
        <w:rPr>
          <w:rFonts w:ascii="Times New Roman" w:hAnsi="Times New Roman" w:cs="Times New Roman"/>
          <w:sz w:val="24"/>
          <w:szCs w:val="24"/>
        </w:rPr>
        <w:t xml:space="preserve"> bankovým systémom</w:t>
      </w:r>
      <w:r w:rsidR="006D2C78">
        <w:rPr>
          <w:rFonts w:ascii="Times New Roman" w:hAnsi="Times New Roman" w:cs="Times New Roman"/>
          <w:sz w:val="24"/>
          <w:szCs w:val="24"/>
        </w:rPr>
        <w:t>,</w:t>
      </w:r>
      <w:r w:rsidR="0085581C">
        <w:rPr>
          <w:rFonts w:ascii="Times New Roman" w:hAnsi="Times New Roman" w:cs="Times New Roman"/>
          <w:sz w:val="24"/>
          <w:szCs w:val="24"/>
        </w:rPr>
        <w:t xml:space="preserve"> ktorý využíva Objednávateľská organizácia</w:t>
      </w:r>
      <w:r w:rsidRPr="000D57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AAB95" w14:textId="77777777" w:rsidR="009A5436" w:rsidRPr="000D57E9" w:rsidRDefault="009A5436" w:rsidP="00FC64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3D5898" w14:textId="311FCFA6" w:rsidR="00FC6442" w:rsidRPr="000D57E9" w:rsidRDefault="00FC6442" w:rsidP="00FC6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Poskytnutím služieb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sa rozumie:</w:t>
      </w:r>
    </w:p>
    <w:p w14:paraId="717CBA79" w14:textId="77777777" w:rsidR="00FC6442" w:rsidRPr="000D57E9" w:rsidRDefault="00FC6442" w:rsidP="00FC64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8DB6779" w14:textId="7C8471E5" w:rsidR="00462C59" w:rsidRPr="00462C59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zaistenie dodania</w:t>
      </w:r>
      <w:r w:rsidR="006D2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 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inštalácie</w:t>
      </w:r>
      <w:r w:rsidR="006D2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revízorských čítačiek vrátane integrovaných POS terminálov</w:t>
      </w:r>
      <w:r w:rsidR="00FA3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 SAM modulov</w:t>
      </w:r>
      <w:r w:rsidR="006D2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6832CDAB" w14:textId="42C46B22" w:rsidR="00D6736F" w:rsidRPr="00786980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vykonávanie </w:t>
      </w:r>
      <w:r w:rsidR="00D6736F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aktualizácií a 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úprav </w:t>
      </w:r>
      <w:r w:rsidR="0083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softvéru a hardvéru v revízorských čítačkách</w:t>
      </w:r>
      <w:r w:rsidR="00E75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vrátane aktualizácií SAM a POS terminálov</w:t>
      </w:r>
      <w:r w:rsidR="00F2071E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74E0732F" w14:textId="71E71CC6" w:rsidR="00D6736F" w:rsidRPr="000D57E9" w:rsidRDefault="00D6736F" w:rsidP="00786980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 w:rsidDel="00D67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závislosti od zmien legislatívy dotýkajúcich sa </w:t>
      </w:r>
      <w:r w:rsidR="0083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kontroly tarifného vybavenia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31262D30" w14:textId="00314E41" w:rsidR="00FC6442" w:rsidRPr="00786980" w:rsidRDefault="00B03B27" w:rsidP="00D6736F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 w:rsidDel="00D67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závislosti od zmien</w:t>
      </w:r>
      <w:r w:rsidRPr="000D57E9" w:rsidDel="00B03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FC6442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štandard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ov</w:t>
      </w:r>
      <w:r w:rsidR="00FC6442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prepravných aplikácií IDS BK;</w:t>
      </w:r>
    </w:p>
    <w:p w14:paraId="6BBCEE77" w14:textId="75A3BCEA" w:rsidR="00B03B27" w:rsidRPr="00786980" w:rsidRDefault="00B03B27" w:rsidP="00B03B27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 w:rsidDel="00D67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závislosti od zmien </w:t>
      </w:r>
      <w:r w:rsidR="00D6736F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mandátnych pravidiel a požiadaviek kartových asociácií </w:t>
      </w:r>
      <w:proofErr w:type="spellStart"/>
      <w:r w:rsidR="00D6736F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MasterCard</w:t>
      </w:r>
      <w:proofErr w:type="spellEnd"/>
      <w:r w:rsidR="00D6736F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 </w:t>
      </w:r>
      <w:r w:rsidR="00097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VISA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7EB854C8" w14:textId="77777777" w:rsidR="0031518B" w:rsidRPr="000D57E9" w:rsidRDefault="0031518B" w:rsidP="00786980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dodržiavanie štandardu PCIDSS (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Payment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Card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Industry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Data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Security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Standard) – citlivé údaje o bankovej karte nie sú nikdy sprístupnené dopravcom v otvorenej podobe; </w:t>
      </w:r>
    </w:p>
    <w:p w14:paraId="770D0443" w14:textId="044ED41E" w:rsidR="00E46911" w:rsidRPr="00E75E4E" w:rsidRDefault="00E46911" w:rsidP="007D3C22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7D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aktualizácie </w:t>
      </w:r>
      <w:r w:rsidR="0085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sa </w:t>
      </w:r>
      <w:r w:rsidRPr="007D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distribu</w:t>
      </w:r>
      <w:r w:rsidR="0085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ujú</w:t>
      </w:r>
      <w:r w:rsidRPr="007D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 koncových zariadení automatizovane, hromadne a na diaľku;</w:t>
      </w:r>
    </w:p>
    <w:p w14:paraId="2C12C2D7" w14:textId="504FD0C2" w:rsidR="00FC6442" w:rsidRPr="000D57E9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nakladanie s citlivými údajmi o</w:t>
      </w:r>
      <w:r w:rsidR="009A5FBB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zákazníkoch</w:t>
      </w:r>
      <w:r w:rsidR="009A5FBB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78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BČK</w:t>
      </w:r>
      <w:r w:rsidR="0078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VDK</w:t>
      </w:r>
      <w:r w:rsidR="009A5FBB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BPK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</w:p>
    <w:p w14:paraId="66C98C8B" w14:textId="77777777" w:rsidR="00FC6442" w:rsidRPr="000D57E9" w:rsidRDefault="00FC6442" w:rsidP="00FC6442">
      <w:pPr>
        <w:pStyle w:val="Odsekzoznamu"/>
        <w:numPr>
          <w:ilvl w:val="1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šifrovanie, HSM šifrovací systém; </w:t>
      </w:r>
    </w:p>
    <w:p w14:paraId="5D21938D" w14:textId="77777777" w:rsidR="00FC6442" w:rsidRPr="000D57E9" w:rsidRDefault="00FC6442" w:rsidP="00FC6442">
      <w:pPr>
        <w:pStyle w:val="Odsekzoznamu"/>
        <w:numPr>
          <w:ilvl w:val="1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ročné bezpečnostné audity; </w:t>
      </w:r>
    </w:p>
    <w:p w14:paraId="6C266701" w14:textId="62AE4906" w:rsidR="00FC6442" w:rsidRPr="007D3C22" w:rsidRDefault="00FC6442" w:rsidP="00FC6442">
      <w:pPr>
        <w:pStyle w:val="Odsekzoznamu"/>
        <w:numPr>
          <w:ilvl w:val="1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ochrana osobných údajov;</w:t>
      </w:r>
    </w:p>
    <w:p w14:paraId="58953487" w14:textId="2788A5A8" w:rsidR="004D2972" w:rsidRPr="000D57E9" w:rsidRDefault="004D2972" w:rsidP="004D2972">
      <w:pPr>
        <w:pStyle w:val="Odsekzoznamu"/>
        <w:numPr>
          <w:ilvl w:val="1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pre časti aplikácií, ktoré súvisia so spracovaním platobných kariet pravidelné polročné aplikovanie povinných úprav;</w:t>
      </w:r>
    </w:p>
    <w:p w14:paraId="2F89AC91" w14:textId="77777777" w:rsidR="000B22F8" w:rsidRDefault="004D297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7869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autorizácia a tokenizácia BPK</w:t>
      </w:r>
      <w:r w:rsidRPr="000D5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;</w:t>
      </w:r>
    </w:p>
    <w:p w14:paraId="184A88F4" w14:textId="4E0EFF9A" w:rsidR="00FC6442" w:rsidRPr="000D57E9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lastRenderedPageBreak/>
        <w:t>poskytnutie plnej súčinnosti pri odstraňovaní porúch a</w:t>
      </w:r>
      <w:r w:rsidR="009A5FBB" w:rsidRPr="000D5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pri</w:t>
      </w:r>
      <w:r w:rsidRPr="000D5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 riešení reklamácií súvisiacich s</w:t>
      </w:r>
      <w:r w:rsidR="00832A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 revízorskými čítačkami</w:t>
      </w:r>
      <w:r w:rsidRPr="000D5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;</w:t>
      </w:r>
    </w:p>
    <w:p w14:paraId="7E74A837" w14:textId="074F1F8E" w:rsidR="00FC6442" w:rsidRPr="000D57E9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integráci</w:t>
      </w:r>
      <w:r w:rsidR="008C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83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revízorských čítačiek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so systémami a/alebo zariadeniami Objednávateľ</w:t>
      </w:r>
      <w:r w:rsidR="003460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skej organizácie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a/alebo tretích strán:</w:t>
      </w:r>
    </w:p>
    <w:p w14:paraId="558569D1" w14:textId="689165D7" w:rsidR="001E3AD3" w:rsidRPr="005C0C99" w:rsidRDefault="001E3AD3" w:rsidP="001E3AD3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integrácia </w:t>
      </w:r>
      <w:r w:rsidR="0083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revízorských čítačiek</w:t>
      </w:r>
      <w:r w:rsidR="00832A83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 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tokeniz</w:t>
      </w:r>
      <w:r w:rsidR="00832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čnou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bránou</w:t>
      </w:r>
      <w:r w:rsidR="0042004B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5C0C99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Objednávateľ</w:t>
      </w:r>
      <w:r w:rsidR="003460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skej org</w:t>
      </w:r>
      <w:r w:rsidR="00584C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</w:t>
      </w:r>
      <w:r w:rsidR="003460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nizácie</w:t>
      </w:r>
      <w:r w:rsidR="005C0C99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 účelom tokenizácie BPK;</w:t>
      </w:r>
    </w:p>
    <w:p w14:paraId="58077A58" w14:textId="07BC5D58" w:rsidR="00CA4255" w:rsidRPr="002D24D6" w:rsidRDefault="00832A83" w:rsidP="002D24D6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revízorské čítačky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321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umožnia 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 dodávateľ poskytne súčinnosť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pri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budúc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ej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integráci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i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rozvoj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i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321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aplikácií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321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slúžiacich na kontrolu tarifného vybavenia 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podľa požiadaviek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 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Obj</w:t>
      </w:r>
      <w:r w:rsidR="00AF1FF0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e</w:t>
      </w:r>
      <w:r w:rsidR="00CA4255"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dnávateľskej organizácie.</w:t>
      </w:r>
    </w:p>
    <w:p w14:paraId="09FC5E0D" w14:textId="7A314C40" w:rsidR="00FC6442" w:rsidRPr="000D57E9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poskytnutie kompletnej prevádzkovej a technickej dokumentácie k</w:t>
      </w:r>
      <w:r w:rsidR="00321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revízorským čítačkám</w:t>
      </w:r>
      <w:r w:rsidR="00F32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vrátane príslušnej aplikácie/aplikácií na kontrolu tarifného vybavenia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31B0DDE2" w14:textId="2121FE3D" w:rsidR="00FC6442" w:rsidRPr="00B46BAF" w:rsidRDefault="00FC6442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poskytovanie konzultácií k</w:t>
      </w:r>
      <w:r w:rsidR="00B46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revízorským čítačkám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302329A0" w14:textId="426EAD95" w:rsidR="00B46BAF" w:rsidRPr="000D57E9" w:rsidRDefault="00B46BAF" w:rsidP="00FC6442">
      <w:pPr>
        <w:pStyle w:val="Odsekzoznamu"/>
        <w:numPr>
          <w:ilvl w:val="0"/>
          <w:numId w:val="1"/>
        </w:numPr>
        <w:spacing w:after="20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poskytnutie školenia pracovníkov </w:t>
      </w:r>
      <w:r w:rsidRPr="002D24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Objednávateľskej organizácie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prácu s revízorskými čítačkami.</w:t>
      </w:r>
    </w:p>
    <w:p w14:paraId="3D4C2165" w14:textId="2D9F4141" w:rsidR="0048029F" w:rsidRPr="000D57E9" w:rsidRDefault="0048029F" w:rsidP="00FC6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14:paraId="78359F94" w14:textId="213686AB" w:rsidR="00C01DF9" w:rsidRPr="00AF1FF0" w:rsidRDefault="00C01DF9" w:rsidP="00C01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AF1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Súčasťou služby je </w:t>
      </w:r>
      <w:r w:rsidR="00ED55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ďalej </w:t>
      </w:r>
      <w:r w:rsidRPr="00AF1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zabezpečenie funkcie </w:t>
      </w:r>
      <w:r w:rsidR="00ED55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revízorských čítačiek</w:t>
      </w:r>
      <w:r w:rsidRPr="00AF1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</w:p>
    <w:p w14:paraId="3C37FB15" w14:textId="77777777" w:rsidR="00C01DF9" w:rsidRPr="000D57E9" w:rsidRDefault="00C01DF9" w:rsidP="00C01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651DD7E" w14:textId="77777777" w:rsidR="005E348C" w:rsidRPr="005E348C" w:rsidRDefault="00E82642" w:rsidP="005E348C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642">
        <w:rPr>
          <w:rFonts w:ascii="Times New Roman" w:hAnsi="Times New Roman" w:cs="Times New Roman"/>
          <w:color w:val="000000" w:themeColor="text1"/>
          <w:sz w:val="24"/>
          <w:szCs w:val="24"/>
        </w:rPr>
        <w:t>kontrola tarifného vybavenia cestujúcich v zmysle štandardov IDS BK platných ku dňu podpísania zmluvy</w:t>
      </w:r>
      <w:r w:rsidR="005E34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E348C" w:rsidRPr="005E3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F80BA" w14:textId="604460AC" w:rsidR="005E348C" w:rsidRPr="00C32801" w:rsidRDefault="005E348C" w:rsidP="005E348C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PCL zakúpené na BČK, VDK;</w:t>
      </w:r>
    </w:p>
    <w:p w14:paraId="7EAA24CD" w14:textId="65A85F67" w:rsidR="005E348C" w:rsidRDefault="005E348C" w:rsidP="005E348C">
      <w:pPr>
        <w:pStyle w:val="Odsekzoznamu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65">
        <w:rPr>
          <w:rFonts w:ascii="Times New Roman" w:hAnsi="Times New Roman" w:cs="Times New Roman"/>
          <w:color w:val="000000" w:themeColor="text1"/>
          <w:sz w:val="24"/>
          <w:szCs w:val="24"/>
        </w:rPr>
        <w:t>jednorazové elektronické cestovné lístk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02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„</w:t>
      </w:r>
      <w:proofErr w:type="spellStart"/>
      <w:r w:rsidRPr="00202565">
        <w:rPr>
          <w:rFonts w:ascii="Times New Roman" w:hAnsi="Times New Roman" w:cs="Times New Roman"/>
          <w:color w:val="000000" w:themeColor="text1"/>
          <w:sz w:val="24"/>
          <w:szCs w:val="24"/>
        </w:rPr>
        <w:t>eCL</w:t>
      </w:r>
      <w:proofErr w:type="spellEnd"/>
      <w:r w:rsidRPr="00202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 </w:t>
      </w:r>
      <w:r>
        <w:rPr>
          <w:rFonts w:ascii="Times New Roman" w:hAnsi="Times New Roman" w:cs="Times New Roman"/>
          <w:sz w:val="24"/>
          <w:szCs w:val="24"/>
        </w:rPr>
        <w:t>na BČK, VDK</w:t>
      </w:r>
      <w:r w:rsidRPr="00202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zakúpené z kreditu EP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kombinovaných označovačoch cestovných lístkov (ďalej len „KOCL“) vo vozidlách</w:t>
      </w:r>
      <w:r w:rsidRPr="002025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873FCE" w14:textId="5E202810" w:rsidR="00AC6FED" w:rsidRPr="00E82642" w:rsidRDefault="00276640" w:rsidP="00276640">
      <w:pPr>
        <w:pStyle w:val="Odsekzoznamu"/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C6FED">
        <w:rPr>
          <w:rFonts w:ascii="Times New Roman" w:hAnsi="Times New Roman" w:cs="Times New Roman"/>
          <w:color w:val="000000" w:themeColor="text1"/>
          <w:sz w:val="24"/>
          <w:szCs w:val="24"/>
        </w:rPr>
        <w:t>ístk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C6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zakúpen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C6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cez mobilnú aplikáciu IDS BK;</w:t>
      </w:r>
    </w:p>
    <w:p w14:paraId="0F6F12F2" w14:textId="2B78A0E7" w:rsidR="0024702D" w:rsidRDefault="0024702D" w:rsidP="00276640">
      <w:pPr>
        <w:pStyle w:val="Odsekzoznamu"/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2642">
        <w:rPr>
          <w:rFonts w:ascii="Times New Roman" w:hAnsi="Times New Roman" w:cs="Times New Roman"/>
          <w:color w:val="000000" w:themeColor="text1"/>
          <w:sz w:val="24"/>
          <w:szCs w:val="24"/>
        </w:rPr>
        <w:t>TAP</w:t>
      </w:r>
      <w:r w:rsidR="0027664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proofErr w:type="spellEnd"/>
      <w:r w:rsidR="00276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uskutočnené prostredníctvom </w:t>
      </w:r>
      <w:r w:rsidRPr="00E82642">
        <w:rPr>
          <w:rFonts w:ascii="Times New Roman" w:hAnsi="Times New Roman" w:cs="Times New Roman"/>
          <w:color w:val="000000" w:themeColor="text1"/>
          <w:sz w:val="24"/>
          <w:szCs w:val="24"/>
        </w:rPr>
        <w:t>BPK v danom vozidle;</w:t>
      </w:r>
    </w:p>
    <w:p w14:paraId="4DB56380" w14:textId="77777777" w:rsidR="0024702D" w:rsidRPr="00E82642" w:rsidRDefault="0024702D" w:rsidP="00276640">
      <w:pPr>
        <w:pStyle w:val="Odsekzoznamu"/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642">
        <w:rPr>
          <w:rFonts w:ascii="Times New Roman" w:hAnsi="Times New Roman" w:cs="Times New Roman"/>
          <w:color w:val="000000" w:themeColor="text1"/>
          <w:sz w:val="24"/>
          <w:szCs w:val="24"/>
        </w:rPr>
        <w:t>kontrola tarifného vybavenia cestujúcich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nespadajúceho pod štandardy IDS BK:</w:t>
      </w:r>
    </w:p>
    <w:p w14:paraId="4AA83A75" w14:textId="793EF7D2" w:rsidR="00C01DF9" w:rsidRPr="00E82642" w:rsidRDefault="00C01DF9" w:rsidP="00276640">
      <w:pPr>
        <w:pStyle w:val="Odsekzoznamu"/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PCL zakúpené </w:t>
      </w:r>
      <w:r w:rsidR="00E0424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E82642">
        <w:rPr>
          <w:rFonts w:ascii="Times New Roman" w:hAnsi="Times New Roman" w:cs="Times New Roman"/>
          <w:color w:val="000000" w:themeColor="text1"/>
          <w:sz w:val="24"/>
          <w:szCs w:val="24"/>
        </w:rPr>
        <w:t> registrovanej BPK;</w:t>
      </w:r>
    </w:p>
    <w:p w14:paraId="71C2F404" w14:textId="2497CE7B" w:rsidR="00E82642" w:rsidRDefault="00E82642" w:rsidP="00276640">
      <w:pPr>
        <w:pStyle w:val="Odsekzoznamu"/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SMS lístk</w:t>
      </w:r>
      <w:r w:rsidR="00E0424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19F252" w14:textId="32F5595B" w:rsidR="00AC6FED" w:rsidRDefault="003F4B5E" w:rsidP="00276640">
      <w:pPr>
        <w:pStyle w:val="Odsekzoznamu"/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zápis PCL, kreditu EP a elektronických korekcií do BČK, pričom pod elektronickými korekciami sa rozumie zmena údajov v BČK ako napríklad zmena platnosti BČK, či zmena platnosti zľavy na BČK; </w:t>
      </w:r>
    </w:p>
    <w:p w14:paraId="4AA8EB21" w14:textId="4F4AD322" w:rsidR="00C01DF9" w:rsidRDefault="00E82642" w:rsidP="00276640">
      <w:pPr>
        <w:pStyle w:val="Odsekzoznam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4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prenos všetkých nevyhnutných dát medzi </w:t>
      </w:r>
      <w:r w:rsidR="0024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revízorskou čítačkou </w:t>
      </w:r>
      <w:r w:rsidR="0024702D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zariadeniami a/alebo</w:t>
      </w:r>
      <w:r w:rsidR="00247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systémami </w:t>
      </w:r>
      <w:r w:rsidR="0024702D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Objednávateľ</w:t>
      </w:r>
      <w:r w:rsidR="00247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skej organizácie</w:t>
      </w:r>
      <w:r w:rsidR="0024702D"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a/alebo tretích strán</w:t>
      </w:r>
      <w:r w:rsidR="00AC6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68496D1C" w14:textId="3FA1B385" w:rsidR="0024702D" w:rsidRDefault="0024702D" w:rsidP="00AC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970C6FD" w14:textId="77777777" w:rsidR="00AC6FED" w:rsidRPr="00AC6FED" w:rsidRDefault="00AC6FED" w:rsidP="00AC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B1769B2" w14:textId="77777777" w:rsidR="008B420C" w:rsidRPr="00AF1FF0" w:rsidRDefault="008B420C" w:rsidP="006910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AF1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Súčasťou služby je ďalej zabezpečenie funkcie POS terminálov:</w:t>
      </w:r>
    </w:p>
    <w:p w14:paraId="1C3E770E" w14:textId="77777777" w:rsidR="008B420C" w:rsidRPr="000D57E9" w:rsidRDefault="008B420C" w:rsidP="00691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36A2011" w14:textId="77777777" w:rsidR="008B420C" w:rsidRPr="000D57E9" w:rsidRDefault="008B420C" w:rsidP="00AF1FF0">
      <w:pPr>
        <w:pStyle w:val="Odsekzoznamu"/>
        <w:numPr>
          <w:ilvl w:val="0"/>
          <w:numId w:val="3"/>
        </w:numPr>
        <w:ind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autorizácia BPK;</w:t>
      </w:r>
    </w:p>
    <w:p w14:paraId="395CE6B2" w14:textId="77777777" w:rsidR="008B420C" w:rsidRPr="000D57E9" w:rsidRDefault="008B420C" w:rsidP="00AF1FF0">
      <w:pPr>
        <w:pStyle w:val="Odsekzoznamu"/>
        <w:numPr>
          <w:ilvl w:val="0"/>
          <w:numId w:val="3"/>
        </w:numPr>
        <w:ind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tokenizácia BPK;</w:t>
      </w:r>
    </w:p>
    <w:p w14:paraId="3C0B0F2F" w14:textId="77777777" w:rsidR="008B420C" w:rsidRPr="000D57E9" w:rsidRDefault="008B420C" w:rsidP="00AF1FF0">
      <w:pPr>
        <w:pStyle w:val="Odsekzoznamu"/>
        <w:numPr>
          <w:ilvl w:val="0"/>
          <w:numId w:val="3"/>
        </w:numPr>
        <w:ind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prenos všetkých nevyhnutných dát medzi POS, bankovým prostredím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revízorskou čítačkou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0F5253B8" w14:textId="31BA94B9" w:rsidR="008B420C" w:rsidRDefault="008B420C">
      <w:pPr>
        <w:pStyle w:val="Odsekzoznamu"/>
        <w:numPr>
          <w:ilvl w:val="0"/>
          <w:numId w:val="3"/>
        </w:numPr>
        <w:ind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akceptácia BPK podľa štandardov </w:t>
      </w:r>
      <w:r w:rsidR="00097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Visa</w:t>
      </w:r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 </w:t>
      </w:r>
      <w:proofErr w:type="spellStart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MasterCard</w:t>
      </w:r>
      <w:proofErr w:type="spellEnd"/>
      <w:r w:rsidRPr="000D5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32922BB9" w14:textId="32D69643" w:rsidR="008B420C" w:rsidRDefault="008B420C" w:rsidP="003C6501">
      <w:pPr>
        <w:pStyle w:val="Odsekzoznamu"/>
        <w:numPr>
          <w:ilvl w:val="0"/>
          <w:numId w:val="3"/>
        </w:numPr>
        <w:spacing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pravidelná aktualizácia POS za účelom zachovania mandátnych pravidiel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MasterCard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 </w:t>
      </w:r>
      <w:r w:rsidR="00097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14:paraId="5109DDCD" w14:textId="77777777" w:rsidR="00FC6442" w:rsidRPr="00AF1FF0" w:rsidRDefault="00FC6442" w:rsidP="005D5936">
      <w:pPr>
        <w:pageBreakBefore/>
        <w:ind w:left="107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1F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SLA</w:t>
      </w:r>
    </w:p>
    <w:p w14:paraId="028ED206" w14:textId="77777777" w:rsidR="00FC6442" w:rsidRPr="00AF1FF0" w:rsidRDefault="00FC6442" w:rsidP="00FC6442">
      <w:pPr>
        <w:ind w:left="10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1BEDC5" w14:textId="77777777" w:rsidR="00FC6442" w:rsidRPr="000D57E9" w:rsidRDefault="00FC6442" w:rsidP="00FC6442">
      <w:pPr>
        <w:pStyle w:val="Odsekzoznamu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0D57E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Úvodné ustanovenia</w:t>
      </w:r>
    </w:p>
    <w:p w14:paraId="167D8440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68474205" w14:textId="5D20394E" w:rsidR="00FC6442" w:rsidRPr="000D57E9" w:rsidRDefault="00FC6442" w:rsidP="00FC64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Účelom dokumentu Service </w:t>
      </w:r>
      <w:proofErr w:type="spellStart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Level</w:t>
      </w:r>
      <w:proofErr w:type="spellEnd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Agreement</w:t>
      </w:r>
      <w:proofErr w:type="spellEnd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„SLA“) je formalizovať dohodu medzi Dodávateľom a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skou organizáciou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zaistení a spoľahlivosti prevádzky a poskytovaní služieb na stanovenej úrovni. Dodávateľ sa zaväzuje poskytovať služby definované v zmluve v maximálnej možnej kvalite a spoľahlivosti s ohľadom na potreby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. Z prípadných chýb a nedostatkov spôsobených vinou Dodávateľa vyplynú sankcie. Uhradením sankcie nezaniká právo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náhradu škody.</w:t>
      </w:r>
    </w:p>
    <w:p w14:paraId="10BCB18E" w14:textId="77777777" w:rsidR="00FC6442" w:rsidRPr="000D57E9" w:rsidRDefault="00FC6442" w:rsidP="00FC6442">
      <w:pPr>
        <w:ind w:left="10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F4521A" w14:textId="38434937" w:rsidR="00FC6442" w:rsidRPr="000D57E9" w:rsidRDefault="00FC6442" w:rsidP="00FC644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Dodávateľ sa zaväzuje zabezpečiť Objednávateľ</w:t>
      </w:r>
      <w:r w:rsidR="00793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skej organizácii</w:t>
      </w: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04FE8E29" w14:textId="4D57BD59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prevádzku </w:t>
      </w:r>
      <w:r w:rsidR="00052B3A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plnom rozsahu;</w:t>
      </w:r>
    </w:p>
    <w:p w14:paraId="34A05EC9" w14:textId="4E55BC43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kompatibilitu </w:t>
      </w:r>
      <w:r w:rsidR="00052B3A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príslušnými štandardmi IDS BK na prácu s</w:t>
      </w:r>
      <w:r w:rsidR="005C31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BČK</w:t>
      </w:r>
      <w:r w:rsidR="005C31B7">
        <w:rPr>
          <w:rFonts w:ascii="Times New Roman" w:hAnsi="Times New Roman" w:cs="Times New Roman"/>
          <w:color w:val="000000" w:themeColor="text1"/>
          <w:sz w:val="24"/>
          <w:szCs w:val="24"/>
        </w:rPr>
        <w:t>, VDK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v prípade potreby vykonanie potrebných zmien a úprav na zachovanie kompatibility;</w:t>
      </w:r>
    </w:p>
    <w:p w14:paraId="4DFE6EB9" w14:textId="5F3AE74D" w:rsidR="00E50FAC" w:rsidRPr="000D57E9" w:rsidRDefault="001432FB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sz w:val="24"/>
          <w:szCs w:val="24"/>
        </w:rPr>
        <w:t xml:space="preserve">kompatibilitu </w:t>
      </w:r>
      <w:r w:rsidR="00052B3A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="00052B3A" w:rsidRPr="000D57E9">
        <w:rPr>
          <w:rFonts w:ascii="Times New Roman" w:hAnsi="Times New Roman" w:cs="Times New Roman"/>
          <w:sz w:val="24"/>
          <w:szCs w:val="24"/>
        </w:rPr>
        <w:t xml:space="preserve"> </w:t>
      </w:r>
      <w:r w:rsidRPr="000D57E9">
        <w:rPr>
          <w:rFonts w:ascii="Times New Roman" w:hAnsi="Times New Roman" w:cs="Times New Roman"/>
          <w:sz w:val="24"/>
          <w:szCs w:val="24"/>
        </w:rPr>
        <w:t>s príslušnými štandardmi na prácu s BPK a v prípade potreby vykonanie potrebných zmien a úprav na zachovanie kompatibility;</w:t>
      </w:r>
    </w:p>
    <w:p w14:paraId="07611F16" w14:textId="2C423636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vykonávanie úprav softwaru vyplývajúcich z legislatívnych zmien, ovplyvnených predovšetkým zmenou zákona č. 122/2013 Z. z. o ochrane osobných údajov v znení neskorších predpisov, zákona č. 510/2002 Z. z. o  platobnom styku v znení neskorších predpisov</w:t>
      </w:r>
      <w:r w:rsidR="00052B3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F24F35" w14:textId="49F6B8E2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vykonávanie bežných softwarových úprav a podporu podľa požiadaviek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napr. úprava taríf, cenníka a pod.;</w:t>
      </w:r>
    </w:p>
    <w:p w14:paraId="641CD84F" w14:textId="6C1D69C5" w:rsidR="00052B3A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>dodávku, inštaláciu, servis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údržbu 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prevádzku </w:t>
      </w:r>
      <w:r w:rsidR="00052B3A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52B3A"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67A682" w14:textId="2138F8A5" w:rsidR="00FC6442" w:rsidRPr="00052B3A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>dodávku, inštaláciu, servis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údržbu 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prevádzku </w:t>
      </w: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>SAM v </w:t>
      </w:r>
      <w:r w:rsidR="00052B3A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čítačkách</w:t>
      </w: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6B8A7D" w14:textId="291878C2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aktualizácie SAM, pričom dve aktualizácie  v rozmedzí jedného kalendárneho roka sú zahrnuté v paušálnej cene uhrádzanej za prevádzku 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689114" w14:textId="153D8103" w:rsidR="0063329E" w:rsidRPr="000D57E9" w:rsidRDefault="00096960" w:rsidP="0063329E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>dodávku, inštaláciu, servis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2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údržbu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 </w:t>
      </w:r>
      <w:r w:rsidR="0063329E" w:rsidRPr="000D57E9">
        <w:rPr>
          <w:rFonts w:ascii="Times New Roman" w:hAnsi="Times New Roman" w:cs="Times New Roman"/>
          <w:sz w:val="24"/>
          <w:szCs w:val="24"/>
        </w:rPr>
        <w:t xml:space="preserve">prevádzku POS terminálov v uvedenom rozsahu, vrátane uskutočňovania potrebných bezpečnostných aktualizácií </w:t>
      </w:r>
      <w:proofErr w:type="spellStart"/>
      <w:r w:rsidR="0063329E" w:rsidRPr="000D57E9">
        <w:rPr>
          <w:rFonts w:ascii="Times New Roman" w:hAnsi="Times New Roman" w:cs="Times New Roman"/>
          <w:sz w:val="24"/>
          <w:szCs w:val="24"/>
        </w:rPr>
        <w:t>firmware</w:t>
      </w:r>
      <w:proofErr w:type="spellEnd"/>
      <w:r w:rsidR="0063329E" w:rsidRPr="000D57E9">
        <w:rPr>
          <w:rFonts w:ascii="Times New Roman" w:hAnsi="Times New Roman" w:cs="Times New Roman"/>
          <w:sz w:val="24"/>
          <w:szCs w:val="24"/>
        </w:rPr>
        <w:t xml:space="preserve">, v súlade s mandátmi kartových asociácií </w:t>
      </w:r>
      <w:proofErr w:type="spellStart"/>
      <w:r w:rsidR="0063329E" w:rsidRPr="000D57E9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="0063329E" w:rsidRPr="000D57E9">
        <w:rPr>
          <w:rFonts w:ascii="Times New Roman" w:hAnsi="Times New Roman" w:cs="Times New Roman"/>
          <w:sz w:val="24"/>
          <w:szCs w:val="24"/>
        </w:rPr>
        <w:t xml:space="preserve"> a </w:t>
      </w:r>
      <w:r w:rsidR="000973E1">
        <w:rPr>
          <w:rFonts w:ascii="Times New Roman" w:hAnsi="Times New Roman" w:cs="Times New Roman"/>
          <w:sz w:val="24"/>
          <w:szCs w:val="24"/>
        </w:rPr>
        <w:t>Visa</w:t>
      </w:r>
      <w:r w:rsidR="0063329E" w:rsidRPr="000D57E9">
        <w:rPr>
          <w:rFonts w:ascii="Times New Roman" w:hAnsi="Times New Roman" w:cs="Times New Roman"/>
          <w:sz w:val="24"/>
          <w:szCs w:val="24"/>
        </w:rPr>
        <w:t>;</w:t>
      </w:r>
    </w:p>
    <w:p w14:paraId="33ACBF45" w14:textId="33F67E2A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plnú súčinnosť pri integrácií 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systémami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a/alebo tretích strán podľa požiadaviek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327616" w14:textId="55BDDE97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elektronický </w:t>
      </w:r>
      <w:proofErr w:type="spellStart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ticketingový</w:t>
      </w:r>
      <w:proofErr w:type="spellEnd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systém (</w:t>
      </w:r>
      <w:proofErr w:type="spellStart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helpdesk</w:t>
      </w:r>
      <w:proofErr w:type="spellEnd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) slúžiaci na evidenciu a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monitoring požiadaviek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týkajúcich sa 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>revízorských čítačiek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E8F06C" w14:textId="27B7024E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konzultačné činnosti k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> revízorským čítačkám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základe žiadosti Objednávateľ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5C558C" w14:textId="0BB993AB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zaškolenie pracovníkov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prácu s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revízorskými čítačkami 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príslušným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softvérovým vybavením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4AAE82" w14:textId="2D123CB5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projektovú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>,  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prevádzkovú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technickú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dokumentáciu k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> revízorským čítačkám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15721E" w14:textId="77777777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podporu pri riešení reklamácií;</w:t>
      </w:r>
    </w:p>
    <w:p w14:paraId="20C7A7EA" w14:textId="11EA629D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podporu pri riešení </w:t>
      </w:r>
      <w:proofErr w:type="spellStart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nekonzistentnosti</w:t>
      </w:r>
      <w:proofErr w:type="spellEnd"/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dát medzi </w:t>
      </w:r>
      <w:r w:rsidR="004D1CB3">
        <w:rPr>
          <w:rFonts w:ascii="Times New Roman" w:hAnsi="Times New Roman" w:cs="Times New Roman"/>
          <w:color w:val="000000" w:themeColor="text1"/>
          <w:sz w:val="24"/>
          <w:szCs w:val="24"/>
        </w:rPr>
        <w:t>revízorskými čítačkami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systémami Objednávateľ</w:t>
      </w:r>
      <w:r w:rsidR="00793722">
        <w:rPr>
          <w:rFonts w:ascii="Times New Roman" w:hAnsi="Times New Roman" w:cs="Times New Roman"/>
          <w:color w:val="000000" w:themeColor="text1"/>
          <w:sz w:val="24"/>
          <w:szCs w:val="24"/>
        </w:rPr>
        <w:t>skej</w:t>
      </w:r>
      <w:r w:rsidR="00427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a/alebo tretích strán.</w:t>
      </w:r>
    </w:p>
    <w:p w14:paraId="26818CA2" w14:textId="77777777" w:rsidR="00FC6442" w:rsidRPr="000D57E9" w:rsidRDefault="00FC6442" w:rsidP="00FC64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CE769" w14:textId="77777777" w:rsidR="00FC6442" w:rsidRPr="000D57E9" w:rsidRDefault="00FC6442" w:rsidP="00FC6442">
      <w:pPr>
        <w:pStyle w:val="Odsekzoznamu"/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0D57E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Režim a doba spracovania</w:t>
      </w:r>
    </w:p>
    <w:p w14:paraId="4B4688B3" w14:textId="77777777" w:rsidR="00FC6442" w:rsidRPr="000D57E9" w:rsidRDefault="00FC6442" w:rsidP="00FC6442">
      <w:pPr>
        <w:spacing w:after="0" w:line="240" w:lineRule="auto"/>
        <w:ind w:left="851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6BF727E5" w14:textId="3EC50A39" w:rsidR="00FC6442" w:rsidRPr="000D57E9" w:rsidRDefault="00F325D5" w:rsidP="00FC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Revízorské čítačky budú </w:t>
      </w:r>
      <w:r w:rsidR="009F78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funkčné</w:t>
      </w:r>
      <w:r w:rsidR="00FC6442" w:rsidRPr="000D57E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24 hodín denne, 365/ resp. 366 dní v roku,</w:t>
      </w:r>
      <w:r w:rsidR="00FC6442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výnimkou plánovaných odstávok či nutných výpadkov. </w:t>
      </w:r>
    </w:p>
    <w:p w14:paraId="03C2797A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AE568" w14:textId="1F46BFC8" w:rsidR="00FC6442" w:rsidRPr="000D57E9" w:rsidRDefault="009F780D" w:rsidP="00FC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Doba nefunkčnosti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revízorských čítačiek</w:t>
      </w:r>
      <w:r w:rsidR="00FC6442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maximálne</w:t>
      </w:r>
      <w:r w:rsidR="00FC6442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C6442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,0%, s výnimkou plánovaných odstávok, kde priemer je kalkulovaný z jedného kalendárneho mesiaca.</w:t>
      </w:r>
    </w:p>
    <w:p w14:paraId="5AFFA770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759AB" w14:textId="25D5C1DB" w:rsidR="00FC6442" w:rsidRPr="000D57E9" w:rsidRDefault="00FC6442" w:rsidP="00FC644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Kontaktné osoby a údaje súvisiace s </w:t>
      </w:r>
      <w:r w:rsidR="00F325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technickou</w:t>
      </w:r>
      <w:r w:rsidRPr="000D57E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podporou budú uvedené v Zmluve.</w:t>
      </w:r>
    </w:p>
    <w:p w14:paraId="26C7B0C4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5D51928" w14:textId="0DE3BB72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Dodávateľ sa zaväzuje, že plánovaná odstávka bude plánovaná na dobu medzi 23:00 až 07:00 hod. a nebude častejšie, než 12x za kalendárny rok. Dodávateľ je povinný písomne oznámiť Objednávateľ</w:t>
      </w:r>
      <w:r w:rsidR="00427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skej organizácii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plánovanú odstávku v predstihu 7 kalendárnych dní. V prípade plánovanej odstávky alebo  nutného výpadku je Objednávateľ</w:t>
      </w:r>
      <w:r w:rsidR="00427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ská organizácia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informovan</w:t>
      </w:r>
      <w:r w:rsidR="00427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</w:t>
      </w:r>
      <w:r w:rsidR="00AF1F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kontaktnej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emailovej adrese. </w:t>
      </w:r>
    </w:p>
    <w:p w14:paraId="6B32F815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6434B1" w14:textId="70482395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 nutnom výpadku je Dodávateľ oprávnený obmedziť alebo prerušiť poskytovanie služieb a súvisiacich prác, pričom je povinný písomne oznámiť Objednávateľ</w:t>
      </w:r>
      <w:r w:rsidR="00427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skej organizácii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nutný výpadok v predstihu, a to ihneď po zistení nutnosti takéhoto výpadku, najmenej však 24 hodín pred začatím nutného výpadku, ibaže by nutný výpadok bol vynútený reguláciou prevádzkových štandardov IDS BK</w:t>
      </w:r>
      <w:r w:rsidR="00E50FAC"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Kartových asociácií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alebo technickou záležitosťou, ktorá by bola podstatnou pre zákazníkov Objednávateľ</w:t>
      </w:r>
      <w:r w:rsidR="00427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Nutný výpadok musí byť plánovaný na dobu medzi 23:00 - 07:00 hod. a nebude častejšie než 4x za kalendárny rok.</w:t>
      </w:r>
    </w:p>
    <w:p w14:paraId="284635E8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8EC353" w14:textId="2B40A050" w:rsidR="00FC6442" w:rsidRPr="000D57E9" w:rsidRDefault="00FC6442" w:rsidP="007C25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Objednávateľ</w:t>
      </w:r>
      <w:r w:rsidR="00427060">
        <w:rPr>
          <w:rFonts w:ascii="Times New Roman" w:hAnsi="Times New Roman" w:cs="Times New Roman"/>
          <w:color w:val="000000" w:themeColor="text1"/>
          <w:sz w:val="24"/>
          <w:szCs w:val="24"/>
        </w:rPr>
        <w:t>ská organizácia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berie na vedomie, že do </w:t>
      </w:r>
      <w:r w:rsidR="00096960">
        <w:rPr>
          <w:rFonts w:ascii="Times New Roman" w:hAnsi="Times New Roman" w:cs="Times New Roman"/>
          <w:color w:val="000000" w:themeColor="text1"/>
          <w:sz w:val="24"/>
          <w:szCs w:val="24"/>
        </w:rPr>
        <w:t>prevádzkyschopnosti revízorských čítačiek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nezapočítava doba, kedy systémy Dodávateľa sú závislé na dostupnosti systému Objednávateľ</w:t>
      </w:r>
      <w:r w:rsidR="00427060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a/alebo systému tretích strán. Dodávateľ teda nenesie zodpovednosť, ani nie je povinný uhradiť sankčnú platbu za obmedzenie dostupnosti spôsobenej výpadkom, či chybou komunikácie v systéme Objednávateľ</w:t>
      </w:r>
      <w:r w:rsidR="00427060">
        <w:rPr>
          <w:rFonts w:ascii="Times New Roman" w:hAnsi="Times New Roman" w:cs="Times New Roman"/>
          <w:color w:val="000000" w:themeColor="text1"/>
          <w:sz w:val="24"/>
          <w:szCs w:val="24"/>
        </w:rPr>
        <w:t>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</w:t>
      </w:r>
      <w:r w:rsidR="004A7058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systéme tretích strán</w:t>
      </w:r>
      <w:r w:rsidR="00427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Objednávateľskej organizácie</w:t>
      </w: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" w:name="_GoBack"/>
      <w:bookmarkEnd w:id="3"/>
    </w:p>
    <w:p w14:paraId="07E809EB" w14:textId="4B5598A2" w:rsidR="00FC6442" w:rsidRPr="000D57E9" w:rsidRDefault="00FC6442" w:rsidP="00BC27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D129C6" w14:textId="08F589E3" w:rsidR="00FC6442" w:rsidRPr="000D57E9" w:rsidRDefault="00FC6442" w:rsidP="00FC6442">
      <w:pPr>
        <w:pStyle w:val="Odsekzoznamu"/>
        <w:numPr>
          <w:ilvl w:val="0"/>
          <w:numId w:val="6"/>
        </w:numPr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Odstraňovanie </w:t>
      </w:r>
      <w:r w:rsidR="004A7058" w:rsidRPr="000D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porúch</w:t>
      </w:r>
    </w:p>
    <w:p w14:paraId="523C93FA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05D22E" w14:textId="6FBCCCAC" w:rsidR="00FC6442" w:rsidRPr="000D57E9" w:rsidRDefault="00FC6442" w:rsidP="00FC6442">
      <w:pPr>
        <w:pStyle w:val="Odsekzoznamu"/>
        <w:numPr>
          <w:ilvl w:val="1"/>
          <w:numId w:val="6"/>
        </w:numPr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Kategorizácia </w:t>
      </w:r>
      <w:r w:rsidR="004A7058" w:rsidRPr="000D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porúch</w:t>
      </w:r>
    </w:p>
    <w:p w14:paraId="6F5D3248" w14:textId="77777777" w:rsidR="00FC6442" w:rsidRPr="000D57E9" w:rsidRDefault="00FC6442" w:rsidP="00FC6442">
      <w:pPr>
        <w:pStyle w:val="Odsekzoznam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5EF2DC" w14:textId="77777777" w:rsidR="00FC6442" w:rsidRPr="000D57E9" w:rsidRDefault="00FC6442" w:rsidP="00FC644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Kategória A – vážne s najvyššou prioritou</w:t>
      </w:r>
    </w:p>
    <w:p w14:paraId="0697C1C2" w14:textId="13F24644" w:rsidR="00FC6442" w:rsidRPr="000D57E9" w:rsidRDefault="00FC6442" w:rsidP="00FC644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Kategória B – vážne, spôsobujúce podstatné zhoršenie výkonnosti a funkčnosti </w:t>
      </w:r>
      <w:r w:rsidR="00F325D5"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funkčnosť </w:t>
      </w:r>
      <w:r w:rsidR="00F325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revízorských čítačiek</w:t>
      </w:r>
    </w:p>
    <w:p w14:paraId="06F0EF2B" w14:textId="45CECE42" w:rsidR="00FC6442" w:rsidRPr="000D57E9" w:rsidRDefault="00FC6442" w:rsidP="00FC644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Kategória C – menej závažné, s minimálnym dopadom na výkonnosť či funkčnosť </w:t>
      </w:r>
      <w:r w:rsidR="00F325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revízorských čítačiek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6442" w:rsidRPr="000D57E9" w14:paraId="0000BA85" w14:textId="77777777" w:rsidTr="00F57997">
        <w:tc>
          <w:tcPr>
            <w:tcW w:w="2265" w:type="dxa"/>
          </w:tcPr>
          <w:p w14:paraId="6414073B" w14:textId="16AA181A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Kategória </w:t>
            </w:r>
            <w:r w:rsidR="004A7058" w:rsidRPr="00AF1F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poruchy</w:t>
            </w:r>
          </w:p>
        </w:tc>
        <w:tc>
          <w:tcPr>
            <w:tcW w:w="2265" w:type="dxa"/>
          </w:tcPr>
          <w:p w14:paraId="6F664EA1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 pracovných dňoch</w:t>
            </w:r>
          </w:p>
        </w:tc>
        <w:tc>
          <w:tcPr>
            <w:tcW w:w="2266" w:type="dxa"/>
          </w:tcPr>
          <w:p w14:paraId="42E35B6B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Zahájenie prác do X </w:t>
            </w: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hodín od nahlásenia</w:t>
            </w:r>
          </w:p>
        </w:tc>
        <w:tc>
          <w:tcPr>
            <w:tcW w:w="2266" w:type="dxa"/>
          </w:tcPr>
          <w:p w14:paraId="2736E520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Ukončenie prác do X </w:t>
            </w: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hodín od nahlásenia</w:t>
            </w:r>
          </w:p>
        </w:tc>
      </w:tr>
      <w:tr w:rsidR="00FC6442" w:rsidRPr="000D57E9" w14:paraId="3D2084F4" w14:textId="77777777" w:rsidTr="00F57997">
        <w:tc>
          <w:tcPr>
            <w:tcW w:w="2265" w:type="dxa"/>
          </w:tcPr>
          <w:p w14:paraId="37003524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A</w:t>
            </w:r>
          </w:p>
        </w:tc>
        <w:tc>
          <w:tcPr>
            <w:tcW w:w="2265" w:type="dxa"/>
          </w:tcPr>
          <w:p w14:paraId="1E038218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7:00 – 17:00</w:t>
            </w:r>
          </w:p>
        </w:tc>
        <w:tc>
          <w:tcPr>
            <w:tcW w:w="2266" w:type="dxa"/>
          </w:tcPr>
          <w:p w14:paraId="07A29615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0364626C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</w:t>
            </w:r>
          </w:p>
        </w:tc>
      </w:tr>
      <w:tr w:rsidR="00FC6442" w:rsidRPr="000D57E9" w14:paraId="65A9D134" w14:textId="77777777" w:rsidTr="00F57997">
        <w:tc>
          <w:tcPr>
            <w:tcW w:w="2265" w:type="dxa"/>
          </w:tcPr>
          <w:p w14:paraId="23995591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4C7455BF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7:00 – 17:00</w:t>
            </w:r>
          </w:p>
        </w:tc>
        <w:tc>
          <w:tcPr>
            <w:tcW w:w="2266" w:type="dxa"/>
          </w:tcPr>
          <w:p w14:paraId="260A5176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6" w:type="dxa"/>
          </w:tcPr>
          <w:p w14:paraId="74E3E3DF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</w:t>
            </w:r>
          </w:p>
        </w:tc>
      </w:tr>
      <w:tr w:rsidR="00FC6442" w:rsidRPr="000D57E9" w14:paraId="43777229" w14:textId="77777777" w:rsidTr="00F57997">
        <w:tc>
          <w:tcPr>
            <w:tcW w:w="2265" w:type="dxa"/>
          </w:tcPr>
          <w:p w14:paraId="3ECBA702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65" w:type="dxa"/>
          </w:tcPr>
          <w:p w14:paraId="25D2DFE1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7:00 – 17:00</w:t>
            </w:r>
          </w:p>
        </w:tc>
        <w:tc>
          <w:tcPr>
            <w:tcW w:w="2266" w:type="dxa"/>
          </w:tcPr>
          <w:p w14:paraId="25E380A6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266" w:type="dxa"/>
          </w:tcPr>
          <w:p w14:paraId="23CB25D7" w14:textId="77777777" w:rsidR="00FC6442" w:rsidRPr="000D57E9" w:rsidRDefault="00FC6442" w:rsidP="00F5799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57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240</w:t>
            </w:r>
          </w:p>
        </w:tc>
      </w:tr>
    </w:tbl>
    <w:p w14:paraId="58636C8E" w14:textId="77777777" w:rsidR="00FC6442" w:rsidRPr="000D57E9" w:rsidRDefault="00FC6442" w:rsidP="00FC644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485F5F" w14:textId="77777777" w:rsidR="00FC6442" w:rsidRPr="000D57E9" w:rsidRDefault="00FC6442" w:rsidP="00FC6442">
      <w:pPr>
        <w:pStyle w:val="Odsekzoznamu"/>
        <w:numPr>
          <w:ilvl w:val="1"/>
          <w:numId w:val="6"/>
        </w:numPr>
        <w:ind w:left="357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Poskytovanie podpory a poradenstva</w:t>
      </w:r>
    </w:p>
    <w:p w14:paraId="687FACE8" w14:textId="77777777" w:rsidR="00FC6442" w:rsidRPr="000D57E9" w:rsidRDefault="00FC6442" w:rsidP="00FC6442">
      <w:pPr>
        <w:pStyle w:val="Odsekzoznamu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19219E" w14:textId="74DB7501" w:rsidR="00FC6442" w:rsidRPr="000D57E9" w:rsidRDefault="00FC6442" w:rsidP="00FC644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Dodávateľ v rámci zmluvného paušálu ďalej  poskytne Objednávateľ</w:t>
      </w:r>
      <w:r w:rsidR="004270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skej organizácii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podporu a poradenstvo k</w:t>
      </w:r>
      <w:r w:rsidR="00F325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revízorským čítačkám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 to v rozsahu minimálne </w:t>
      </w:r>
      <w:r w:rsidR="003E27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hodín mesačne s prenosom nevyčerpaných hodín do ďalšieho mesiaca v rámci jedného kalendárneho roka.</w:t>
      </w:r>
    </w:p>
    <w:p w14:paraId="302B5C01" w14:textId="77777777" w:rsidR="00FC6442" w:rsidRPr="000D57E9" w:rsidRDefault="00FC6442" w:rsidP="00FC644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Podpora bude dostupná:</w:t>
      </w:r>
    </w:p>
    <w:p w14:paraId="0A754F49" w14:textId="77777777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elektronicky prostredníctvom </w:t>
      </w:r>
      <w:proofErr w:type="spellStart"/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ticketingového</w:t>
      </w:r>
      <w:proofErr w:type="spellEnd"/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systému (</w:t>
      </w:r>
      <w:proofErr w:type="spellStart"/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helpdesk</w:t>
      </w:r>
      <w:proofErr w:type="spellEnd"/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dostupného 24/7;</w:t>
      </w:r>
    </w:p>
    <w:p w14:paraId="516F4A7B" w14:textId="66178DAA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telefonicky na dohodnutom telefónnom čísle sedem dní v týždni s výnimkou sviatkov</w:t>
      </w:r>
      <w:r w:rsidR="002C78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definovaných ako dni pracovného pokoja v SR</w:t>
      </w: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 to v čase od 8:00 do 16:00;</w:t>
      </w:r>
    </w:p>
    <w:p w14:paraId="35893BE8" w14:textId="77777777" w:rsidR="00FC6442" w:rsidRPr="000D57E9" w:rsidRDefault="00FC6442" w:rsidP="00FC6442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formou osobných konzultácií, termín dohodou, najneskôr však do 14 dní od požiadania o poradenstvo.</w:t>
      </w:r>
    </w:p>
    <w:p w14:paraId="6CCC0A58" w14:textId="77777777" w:rsidR="00FC6442" w:rsidRPr="000D57E9" w:rsidRDefault="00FC6442" w:rsidP="00FC64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AB5D4B7" w14:textId="77777777" w:rsidR="00FC6442" w:rsidRPr="000D57E9" w:rsidRDefault="00FC6442" w:rsidP="00FC6442">
      <w:pPr>
        <w:pStyle w:val="Odsekzoznamu"/>
        <w:numPr>
          <w:ilvl w:val="0"/>
          <w:numId w:val="6"/>
        </w:numPr>
        <w:spacing w:after="200" w:line="240" w:lineRule="auto"/>
        <w:ind w:left="357" w:hanging="3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Sankcie</w:t>
      </w:r>
    </w:p>
    <w:p w14:paraId="5CAE6F55" w14:textId="77777777" w:rsidR="00FC6442" w:rsidRPr="000D57E9" w:rsidRDefault="00FC6442" w:rsidP="00FC6442">
      <w:pPr>
        <w:pStyle w:val="Odsekzoznamu"/>
        <w:spacing w:after="200" w:line="240" w:lineRule="auto"/>
        <w:ind w:left="3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F1FD93" w14:textId="374757B9" w:rsidR="00FC6442" w:rsidRPr="000D57E9" w:rsidRDefault="00FC6442" w:rsidP="00FC6442">
      <w:pPr>
        <w:pStyle w:val="Textkomentr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Nedodržanie dostupnosti služieb na úrovni 99% uvedenej v bode 3. bude sankcionované a to nasledovne:</w:t>
      </w:r>
    </w:p>
    <w:p w14:paraId="2099C73F" w14:textId="193B7247" w:rsidR="00FC6442" w:rsidRPr="000D57E9" w:rsidRDefault="00FC6442" w:rsidP="00FC6442">
      <w:pPr>
        <w:pStyle w:val="Textkomentra"/>
        <w:numPr>
          <w:ilvl w:val="0"/>
          <w:numId w:val="3"/>
        </w:numPr>
        <w:spacing w:line="276" w:lineRule="auto"/>
        <w:ind w:left="714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Dostupnosť v intervale 98,99% - 98% : sankcie vo výške 5% z mesačnej fakturácie</w:t>
      </w:r>
      <w:r w:rsidR="007F50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7D835E" w14:textId="0330FE3C" w:rsidR="00FC6442" w:rsidRPr="000D57E9" w:rsidRDefault="00FC6442" w:rsidP="00FC6442">
      <w:pPr>
        <w:pStyle w:val="Textkomentra"/>
        <w:numPr>
          <w:ilvl w:val="0"/>
          <w:numId w:val="3"/>
        </w:numPr>
        <w:spacing w:line="276" w:lineRule="auto"/>
        <w:ind w:left="714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Dostupnosť v intervale 97,99% - 97% : sankcie vo výške 10% z mesačnej fakturácie</w:t>
      </w:r>
      <w:r w:rsidR="007F50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12D9B2" w14:textId="77777777" w:rsidR="00AF1FF0" w:rsidRPr="00AF1FF0" w:rsidRDefault="00FC6442" w:rsidP="00FC6442">
      <w:pPr>
        <w:pStyle w:val="Textkomentra"/>
        <w:numPr>
          <w:ilvl w:val="0"/>
          <w:numId w:val="3"/>
        </w:numPr>
        <w:spacing w:line="276" w:lineRule="auto"/>
        <w:ind w:left="714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Dostupnosť v intervale 97,99% - 96% : sankcie vo výške 15% z mesačnej fakturácie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582591ED" w14:textId="478C1FA2" w:rsidR="00FC6442" w:rsidRPr="000D57E9" w:rsidRDefault="004D1F3C" w:rsidP="00FC6442">
      <w:pPr>
        <w:pStyle w:val="Textkomentra"/>
        <w:numPr>
          <w:ilvl w:val="0"/>
          <w:numId w:val="3"/>
        </w:numPr>
        <w:spacing w:line="276" w:lineRule="auto"/>
        <w:ind w:left="714" w:hanging="3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ostupno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proofErr w:type="spellEnd"/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>ť v intervale 95</w:t>
      </w:r>
      <w:proofErr w:type="gramStart"/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56D3">
        <w:rPr>
          <w:rFonts w:ascii="Times New Roman" w:hAnsi="Times New Roman" w:cs="Times New Roman"/>
          <w:color w:val="000000" w:themeColor="text1"/>
          <w:sz w:val="24"/>
          <w:szCs w:val="24"/>
        </w:rPr>
        <w:t>99</w:t>
      </w:r>
      <w:proofErr w:type="gramEnd"/>
      <w:r w:rsidR="00AF1F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- 0% </w:t>
      </w:r>
      <w:r w:rsidR="00AF1FF0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: sankcie vo výške 1</w:t>
      </w:r>
      <w:r w:rsidR="00AF1FF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AF1FF0" w:rsidRPr="000D57E9">
        <w:rPr>
          <w:rFonts w:ascii="Times New Roman" w:hAnsi="Times New Roman" w:cs="Times New Roman"/>
          <w:color w:val="000000" w:themeColor="text1"/>
          <w:sz w:val="24"/>
          <w:szCs w:val="24"/>
        </w:rPr>
        <w:t>% z mesačnej fakturácie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5C16B4" w14:textId="77777777" w:rsidR="00FC6442" w:rsidRPr="000D57E9" w:rsidRDefault="00FC6442" w:rsidP="00FC64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D57E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Maximálna výška sankcie: 100 % z mesačnej fakturácie.</w:t>
      </w:r>
    </w:p>
    <w:p w14:paraId="4BDFB68E" w14:textId="77777777" w:rsidR="00FC6442" w:rsidRPr="000D57E9" w:rsidRDefault="00FC6442" w:rsidP="00FC6442">
      <w:pPr>
        <w:ind w:left="10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DAAA09" w14:textId="77777777" w:rsidR="00FC6442" w:rsidRPr="00AF1FF0" w:rsidRDefault="00FC6442" w:rsidP="00FC6442">
      <w:pPr>
        <w:rPr>
          <w:rFonts w:ascii="Times New Roman" w:hAnsi="Times New Roman" w:cs="Times New Roman"/>
          <w:sz w:val="24"/>
          <w:szCs w:val="24"/>
        </w:rPr>
      </w:pPr>
    </w:p>
    <w:sectPr w:rsidR="00FC6442" w:rsidRPr="00AF1FF0" w:rsidSect="0027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4629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3069" w16cex:dateUtc="2022-11-15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4629DD" w16cid:durableId="271E30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867"/>
    <w:multiLevelType w:val="hybridMultilevel"/>
    <w:tmpl w:val="758E6B3E"/>
    <w:lvl w:ilvl="0" w:tplc="852C7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4B4C"/>
    <w:multiLevelType w:val="hybridMultilevel"/>
    <w:tmpl w:val="7F94BF70"/>
    <w:lvl w:ilvl="0" w:tplc="31D883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95BF2"/>
    <w:multiLevelType w:val="hybridMultilevel"/>
    <w:tmpl w:val="AC7CADA4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F04B3"/>
    <w:multiLevelType w:val="hybridMultilevel"/>
    <w:tmpl w:val="4B08FC64"/>
    <w:lvl w:ilvl="0" w:tplc="7C96F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605AE"/>
    <w:multiLevelType w:val="hybridMultilevel"/>
    <w:tmpl w:val="0BC02752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E7245"/>
    <w:multiLevelType w:val="hybridMultilevel"/>
    <w:tmpl w:val="D1BA554E"/>
    <w:lvl w:ilvl="0" w:tplc="3B8E1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51583"/>
    <w:multiLevelType w:val="hybridMultilevel"/>
    <w:tmpl w:val="656E8D62"/>
    <w:lvl w:ilvl="0" w:tplc="1066852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904418C">
      <w:start w:val="1"/>
      <w:numFmt w:val="lowerLetter"/>
      <w:lvlText w:val="%2."/>
      <w:lvlJc w:val="left"/>
      <w:pPr>
        <w:ind w:left="1440" w:hanging="360"/>
      </w:pPr>
    </w:lvl>
    <w:lvl w:ilvl="2" w:tplc="0D689294" w:tentative="1">
      <w:start w:val="1"/>
      <w:numFmt w:val="lowerRoman"/>
      <w:lvlText w:val="%3."/>
      <w:lvlJc w:val="right"/>
      <w:pPr>
        <w:ind w:left="2160" w:hanging="180"/>
      </w:pPr>
    </w:lvl>
    <w:lvl w:ilvl="3" w:tplc="C3EAA4EC" w:tentative="1">
      <w:start w:val="1"/>
      <w:numFmt w:val="decimal"/>
      <w:lvlText w:val="%4."/>
      <w:lvlJc w:val="left"/>
      <w:pPr>
        <w:ind w:left="2880" w:hanging="360"/>
      </w:pPr>
    </w:lvl>
    <w:lvl w:ilvl="4" w:tplc="687CD6E8" w:tentative="1">
      <w:start w:val="1"/>
      <w:numFmt w:val="lowerLetter"/>
      <w:lvlText w:val="%5."/>
      <w:lvlJc w:val="left"/>
      <w:pPr>
        <w:ind w:left="3600" w:hanging="360"/>
      </w:pPr>
    </w:lvl>
    <w:lvl w:ilvl="5" w:tplc="334E96E2" w:tentative="1">
      <w:start w:val="1"/>
      <w:numFmt w:val="lowerRoman"/>
      <w:lvlText w:val="%6."/>
      <w:lvlJc w:val="right"/>
      <w:pPr>
        <w:ind w:left="4320" w:hanging="180"/>
      </w:pPr>
    </w:lvl>
    <w:lvl w:ilvl="6" w:tplc="CB5E51F6" w:tentative="1">
      <w:start w:val="1"/>
      <w:numFmt w:val="decimal"/>
      <w:lvlText w:val="%7."/>
      <w:lvlJc w:val="left"/>
      <w:pPr>
        <w:ind w:left="5040" w:hanging="360"/>
      </w:pPr>
    </w:lvl>
    <w:lvl w:ilvl="7" w:tplc="A9D868B0" w:tentative="1">
      <w:start w:val="1"/>
      <w:numFmt w:val="lowerLetter"/>
      <w:lvlText w:val="%8."/>
      <w:lvlJc w:val="left"/>
      <w:pPr>
        <w:ind w:left="5760" w:hanging="360"/>
      </w:pPr>
    </w:lvl>
    <w:lvl w:ilvl="8" w:tplc="8D5EE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21607"/>
    <w:multiLevelType w:val="hybridMultilevel"/>
    <w:tmpl w:val="A4200346"/>
    <w:lvl w:ilvl="0" w:tplc="5B44B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A4C8A"/>
    <w:multiLevelType w:val="multilevel"/>
    <w:tmpl w:val="4E9C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7661259"/>
    <w:multiLevelType w:val="hybridMultilevel"/>
    <w:tmpl w:val="1C0C541C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34C52"/>
    <w:multiLevelType w:val="hybridMultilevel"/>
    <w:tmpl w:val="B8505B54"/>
    <w:lvl w:ilvl="0" w:tplc="A3625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ný Andrej">
    <w15:presenceInfo w15:providerId="AD" w15:userId="S-1-5-21-889476968-2643516461-3881543952-3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D9"/>
    <w:rsid w:val="00000CC3"/>
    <w:rsid w:val="0000596B"/>
    <w:rsid w:val="00006E5C"/>
    <w:rsid w:val="00014778"/>
    <w:rsid w:val="0002027A"/>
    <w:rsid w:val="00024354"/>
    <w:rsid w:val="000273D8"/>
    <w:rsid w:val="00030429"/>
    <w:rsid w:val="00031F09"/>
    <w:rsid w:val="00036240"/>
    <w:rsid w:val="000416E0"/>
    <w:rsid w:val="0004611D"/>
    <w:rsid w:val="000476B2"/>
    <w:rsid w:val="0005167D"/>
    <w:rsid w:val="00052B3A"/>
    <w:rsid w:val="00063088"/>
    <w:rsid w:val="00064366"/>
    <w:rsid w:val="00066DB6"/>
    <w:rsid w:val="00071AF5"/>
    <w:rsid w:val="00095688"/>
    <w:rsid w:val="00096960"/>
    <w:rsid w:val="000973E1"/>
    <w:rsid w:val="000A05D7"/>
    <w:rsid w:val="000A3FF6"/>
    <w:rsid w:val="000A66A9"/>
    <w:rsid w:val="000B05CE"/>
    <w:rsid w:val="000B22F8"/>
    <w:rsid w:val="000C202A"/>
    <w:rsid w:val="000D57E9"/>
    <w:rsid w:val="000D612D"/>
    <w:rsid w:val="000D717B"/>
    <w:rsid w:val="000E1CF2"/>
    <w:rsid w:val="000F712B"/>
    <w:rsid w:val="00106A6B"/>
    <w:rsid w:val="0011350A"/>
    <w:rsid w:val="00114226"/>
    <w:rsid w:val="00116EFA"/>
    <w:rsid w:val="001244D9"/>
    <w:rsid w:val="001258F2"/>
    <w:rsid w:val="00140DBA"/>
    <w:rsid w:val="0014199F"/>
    <w:rsid w:val="001432FB"/>
    <w:rsid w:val="0014644C"/>
    <w:rsid w:val="0016248F"/>
    <w:rsid w:val="00165B11"/>
    <w:rsid w:val="00165B85"/>
    <w:rsid w:val="001709AA"/>
    <w:rsid w:val="001820BE"/>
    <w:rsid w:val="0018423F"/>
    <w:rsid w:val="00185FDB"/>
    <w:rsid w:val="0019390D"/>
    <w:rsid w:val="00196955"/>
    <w:rsid w:val="00197EE2"/>
    <w:rsid w:val="001A362C"/>
    <w:rsid w:val="001A790B"/>
    <w:rsid w:val="001C009F"/>
    <w:rsid w:val="001C14F8"/>
    <w:rsid w:val="001C59A8"/>
    <w:rsid w:val="001E12C7"/>
    <w:rsid w:val="001E3AD3"/>
    <w:rsid w:val="001E66D1"/>
    <w:rsid w:val="00202565"/>
    <w:rsid w:val="00205824"/>
    <w:rsid w:val="00236B0E"/>
    <w:rsid w:val="002411B0"/>
    <w:rsid w:val="002466F1"/>
    <w:rsid w:val="0024702D"/>
    <w:rsid w:val="00253E97"/>
    <w:rsid w:val="002557D7"/>
    <w:rsid w:val="00256070"/>
    <w:rsid w:val="00256099"/>
    <w:rsid w:val="00263312"/>
    <w:rsid w:val="002636F9"/>
    <w:rsid w:val="0027137E"/>
    <w:rsid w:val="00276640"/>
    <w:rsid w:val="002941C0"/>
    <w:rsid w:val="002A1E12"/>
    <w:rsid w:val="002A44D3"/>
    <w:rsid w:val="002B2A9F"/>
    <w:rsid w:val="002B4584"/>
    <w:rsid w:val="002C2933"/>
    <w:rsid w:val="002C7837"/>
    <w:rsid w:val="002D24D6"/>
    <w:rsid w:val="002D601A"/>
    <w:rsid w:val="002F310E"/>
    <w:rsid w:val="00312CDD"/>
    <w:rsid w:val="0031518B"/>
    <w:rsid w:val="00321401"/>
    <w:rsid w:val="00321AE9"/>
    <w:rsid w:val="0032450A"/>
    <w:rsid w:val="003341ED"/>
    <w:rsid w:val="00334BA8"/>
    <w:rsid w:val="0034484B"/>
    <w:rsid w:val="0034543C"/>
    <w:rsid w:val="003460A8"/>
    <w:rsid w:val="00346DE6"/>
    <w:rsid w:val="00346E42"/>
    <w:rsid w:val="00371E46"/>
    <w:rsid w:val="0037658A"/>
    <w:rsid w:val="003901BB"/>
    <w:rsid w:val="003A1BEF"/>
    <w:rsid w:val="003A2A2D"/>
    <w:rsid w:val="003A6115"/>
    <w:rsid w:val="003A7D5D"/>
    <w:rsid w:val="003B743C"/>
    <w:rsid w:val="003C32C6"/>
    <w:rsid w:val="003C32CB"/>
    <w:rsid w:val="003C6501"/>
    <w:rsid w:val="003D006F"/>
    <w:rsid w:val="003D1193"/>
    <w:rsid w:val="003D336E"/>
    <w:rsid w:val="003D41DE"/>
    <w:rsid w:val="003D59CD"/>
    <w:rsid w:val="003E27A8"/>
    <w:rsid w:val="003E3CFD"/>
    <w:rsid w:val="003F089F"/>
    <w:rsid w:val="003F4B5E"/>
    <w:rsid w:val="00404737"/>
    <w:rsid w:val="00407FF2"/>
    <w:rsid w:val="0041469F"/>
    <w:rsid w:val="0042004B"/>
    <w:rsid w:val="00423B5A"/>
    <w:rsid w:val="00427060"/>
    <w:rsid w:val="0043581B"/>
    <w:rsid w:val="00441832"/>
    <w:rsid w:val="00462C59"/>
    <w:rsid w:val="004702BB"/>
    <w:rsid w:val="00475225"/>
    <w:rsid w:val="0048029F"/>
    <w:rsid w:val="0048671A"/>
    <w:rsid w:val="004A7007"/>
    <w:rsid w:val="004A7058"/>
    <w:rsid w:val="004B6156"/>
    <w:rsid w:val="004D1CB3"/>
    <w:rsid w:val="004D1F3C"/>
    <w:rsid w:val="004D2972"/>
    <w:rsid w:val="004E70A8"/>
    <w:rsid w:val="004F0853"/>
    <w:rsid w:val="004F2D71"/>
    <w:rsid w:val="004F7AE9"/>
    <w:rsid w:val="00503DCF"/>
    <w:rsid w:val="0050709E"/>
    <w:rsid w:val="005226D7"/>
    <w:rsid w:val="0052535C"/>
    <w:rsid w:val="00526974"/>
    <w:rsid w:val="00535336"/>
    <w:rsid w:val="00542607"/>
    <w:rsid w:val="005443E5"/>
    <w:rsid w:val="00545410"/>
    <w:rsid w:val="00546BA7"/>
    <w:rsid w:val="0055162E"/>
    <w:rsid w:val="00555416"/>
    <w:rsid w:val="00564924"/>
    <w:rsid w:val="00565619"/>
    <w:rsid w:val="00567A55"/>
    <w:rsid w:val="00571319"/>
    <w:rsid w:val="00576721"/>
    <w:rsid w:val="00584CAC"/>
    <w:rsid w:val="00585E9A"/>
    <w:rsid w:val="00593703"/>
    <w:rsid w:val="00595206"/>
    <w:rsid w:val="005A0591"/>
    <w:rsid w:val="005B17ED"/>
    <w:rsid w:val="005B42FB"/>
    <w:rsid w:val="005B4A88"/>
    <w:rsid w:val="005C0C99"/>
    <w:rsid w:val="005C31B7"/>
    <w:rsid w:val="005D08A9"/>
    <w:rsid w:val="005D5936"/>
    <w:rsid w:val="005E202E"/>
    <w:rsid w:val="005E348C"/>
    <w:rsid w:val="00600C8D"/>
    <w:rsid w:val="00613FFE"/>
    <w:rsid w:val="0063329E"/>
    <w:rsid w:val="00665A39"/>
    <w:rsid w:val="0066707A"/>
    <w:rsid w:val="00670B8B"/>
    <w:rsid w:val="00680184"/>
    <w:rsid w:val="006909B2"/>
    <w:rsid w:val="00691051"/>
    <w:rsid w:val="006928DE"/>
    <w:rsid w:val="00696525"/>
    <w:rsid w:val="006A7188"/>
    <w:rsid w:val="006B04AC"/>
    <w:rsid w:val="006B15E8"/>
    <w:rsid w:val="006B6052"/>
    <w:rsid w:val="006B638E"/>
    <w:rsid w:val="006C0E1B"/>
    <w:rsid w:val="006C49B5"/>
    <w:rsid w:val="006D05FC"/>
    <w:rsid w:val="006D2C78"/>
    <w:rsid w:val="006D53A7"/>
    <w:rsid w:val="006D55F9"/>
    <w:rsid w:val="006E058C"/>
    <w:rsid w:val="006E1E3F"/>
    <w:rsid w:val="006E44CE"/>
    <w:rsid w:val="006E7DC4"/>
    <w:rsid w:val="00700647"/>
    <w:rsid w:val="007145AA"/>
    <w:rsid w:val="00714B59"/>
    <w:rsid w:val="007367D3"/>
    <w:rsid w:val="00747D79"/>
    <w:rsid w:val="007627CE"/>
    <w:rsid w:val="00786980"/>
    <w:rsid w:val="0079103C"/>
    <w:rsid w:val="0079167D"/>
    <w:rsid w:val="00793722"/>
    <w:rsid w:val="00796110"/>
    <w:rsid w:val="007C2533"/>
    <w:rsid w:val="007D3900"/>
    <w:rsid w:val="007D3C22"/>
    <w:rsid w:val="007E5612"/>
    <w:rsid w:val="007F1667"/>
    <w:rsid w:val="007F4B30"/>
    <w:rsid w:val="007F5030"/>
    <w:rsid w:val="0080357D"/>
    <w:rsid w:val="008073E4"/>
    <w:rsid w:val="0081475D"/>
    <w:rsid w:val="008219A9"/>
    <w:rsid w:val="00832A83"/>
    <w:rsid w:val="00832B8B"/>
    <w:rsid w:val="0083549F"/>
    <w:rsid w:val="00841120"/>
    <w:rsid w:val="0084531D"/>
    <w:rsid w:val="00847025"/>
    <w:rsid w:val="00851FA7"/>
    <w:rsid w:val="00854B04"/>
    <w:rsid w:val="0085581C"/>
    <w:rsid w:val="00872DA1"/>
    <w:rsid w:val="00877293"/>
    <w:rsid w:val="00892996"/>
    <w:rsid w:val="008A1CB2"/>
    <w:rsid w:val="008A4D0F"/>
    <w:rsid w:val="008B1D0E"/>
    <w:rsid w:val="008B420C"/>
    <w:rsid w:val="008B699E"/>
    <w:rsid w:val="008B6CE9"/>
    <w:rsid w:val="008C0155"/>
    <w:rsid w:val="008C06E6"/>
    <w:rsid w:val="008D1CD5"/>
    <w:rsid w:val="008D4823"/>
    <w:rsid w:val="008D5155"/>
    <w:rsid w:val="008E2F17"/>
    <w:rsid w:val="009057C2"/>
    <w:rsid w:val="00907967"/>
    <w:rsid w:val="00915143"/>
    <w:rsid w:val="0092520A"/>
    <w:rsid w:val="00930240"/>
    <w:rsid w:val="009322E5"/>
    <w:rsid w:val="00953928"/>
    <w:rsid w:val="00963B8B"/>
    <w:rsid w:val="00980611"/>
    <w:rsid w:val="00981B0E"/>
    <w:rsid w:val="009926F8"/>
    <w:rsid w:val="009973E6"/>
    <w:rsid w:val="009A0589"/>
    <w:rsid w:val="009A13D5"/>
    <w:rsid w:val="009A5436"/>
    <w:rsid w:val="009A5FBB"/>
    <w:rsid w:val="009C3B94"/>
    <w:rsid w:val="009C708D"/>
    <w:rsid w:val="009D3812"/>
    <w:rsid w:val="009D4485"/>
    <w:rsid w:val="009D5512"/>
    <w:rsid w:val="009D71DF"/>
    <w:rsid w:val="009D7704"/>
    <w:rsid w:val="009E218A"/>
    <w:rsid w:val="009E25C6"/>
    <w:rsid w:val="009E45C0"/>
    <w:rsid w:val="009F780D"/>
    <w:rsid w:val="00A033A8"/>
    <w:rsid w:val="00A0449E"/>
    <w:rsid w:val="00A04786"/>
    <w:rsid w:val="00A120F5"/>
    <w:rsid w:val="00A16878"/>
    <w:rsid w:val="00A179D2"/>
    <w:rsid w:val="00A20A54"/>
    <w:rsid w:val="00A2259C"/>
    <w:rsid w:val="00A4376C"/>
    <w:rsid w:val="00A53452"/>
    <w:rsid w:val="00A566CE"/>
    <w:rsid w:val="00A57327"/>
    <w:rsid w:val="00A61483"/>
    <w:rsid w:val="00A63ADD"/>
    <w:rsid w:val="00A65676"/>
    <w:rsid w:val="00A74F4D"/>
    <w:rsid w:val="00A86026"/>
    <w:rsid w:val="00A86EEA"/>
    <w:rsid w:val="00AA0E3C"/>
    <w:rsid w:val="00AA5A83"/>
    <w:rsid w:val="00AA5B76"/>
    <w:rsid w:val="00AB17F4"/>
    <w:rsid w:val="00AB1E87"/>
    <w:rsid w:val="00AB3FBB"/>
    <w:rsid w:val="00AC1471"/>
    <w:rsid w:val="00AC6FED"/>
    <w:rsid w:val="00AD2504"/>
    <w:rsid w:val="00AE313D"/>
    <w:rsid w:val="00AF05FF"/>
    <w:rsid w:val="00AF1FF0"/>
    <w:rsid w:val="00AF3057"/>
    <w:rsid w:val="00AF3C68"/>
    <w:rsid w:val="00AF49A8"/>
    <w:rsid w:val="00AF6990"/>
    <w:rsid w:val="00B01B48"/>
    <w:rsid w:val="00B03B27"/>
    <w:rsid w:val="00B11ACC"/>
    <w:rsid w:val="00B208F7"/>
    <w:rsid w:val="00B3174E"/>
    <w:rsid w:val="00B372C7"/>
    <w:rsid w:val="00B4215B"/>
    <w:rsid w:val="00B46BAF"/>
    <w:rsid w:val="00B50263"/>
    <w:rsid w:val="00B5183C"/>
    <w:rsid w:val="00B5553A"/>
    <w:rsid w:val="00B85968"/>
    <w:rsid w:val="00B909F8"/>
    <w:rsid w:val="00B93D1C"/>
    <w:rsid w:val="00BA5F4F"/>
    <w:rsid w:val="00BA6C87"/>
    <w:rsid w:val="00BB23F5"/>
    <w:rsid w:val="00BC275B"/>
    <w:rsid w:val="00BC2C3D"/>
    <w:rsid w:val="00BC321E"/>
    <w:rsid w:val="00BD2E15"/>
    <w:rsid w:val="00BD5DD3"/>
    <w:rsid w:val="00BD7855"/>
    <w:rsid w:val="00BE3316"/>
    <w:rsid w:val="00C01DF9"/>
    <w:rsid w:val="00C03699"/>
    <w:rsid w:val="00C04A5C"/>
    <w:rsid w:val="00C1175E"/>
    <w:rsid w:val="00C11BA1"/>
    <w:rsid w:val="00C1652D"/>
    <w:rsid w:val="00C17BE1"/>
    <w:rsid w:val="00C27298"/>
    <w:rsid w:val="00C32801"/>
    <w:rsid w:val="00C36A4B"/>
    <w:rsid w:val="00C5141D"/>
    <w:rsid w:val="00C7614F"/>
    <w:rsid w:val="00C76CAB"/>
    <w:rsid w:val="00C80AC8"/>
    <w:rsid w:val="00C83E38"/>
    <w:rsid w:val="00C86343"/>
    <w:rsid w:val="00C9176F"/>
    <w:rsid w:val="00CA0F3A"/>
    <w:rsid w:val="00CA1A74"/>
    <w:rsid w:val="00CA4255"/>
    <w:rsid w:val="00CA773D"/>
    <w:rsid w:val="00CA7EDA"/>
    <w:rsid w:val="00CB16AF"/>
    <w:rsid w:val="00CB289B"/>
    <w:rsid w:val="00CB623D"/>
    <w:rsid w:val="00CB79B5"/>
    <w:rsid w:val="00CF7038"/>
    <w:rsid w:val="00D04C69"/>
    <w:rsid w:val="00D175D7"/>
    <w:rsid w:val="00D22C0B"/>
    <w:rsid w:val="00D4086B"/>
    <w:rsid w:val="00D5622F"/>
    <w:rsid w:val="00D61173"/>
    <w:rsid w:val="00D6736F"/>
    <w:rsid w:val="00DB6D1A"/>
    <w:rsid w:val="00DB7E25"/>
    <w:rsid w:val="00DC75B6"/>
    <w:rsid w:val="00DD3927"/>
    <w:rsid w:val="00DD7E05"/>
    <w:rsid w:val="00DE059A"/>
    <w:rsid w:val="00DF10B4"/>
    <w:rsid w:val="00DF11F3"/>
    <w:rsid w:val="00E04246"/>
    <w:rsid w:val="00E04758"/>
    <w:rsid w:val="00E06A47"/>
    <w:rsid w:val="00E1140F"/>
    <w:rsid w:val="00E1390E"/>
    <w:rsid w:val="00E259AB"/>
    <w:rsid w:val="00E34957"/>
    <w:rsid w:val="00E46911"/>
    <w:rsid w:val="00E50FAC"/>
    <w:rsid w:val="00E57611"/>
    <w:rsid w:val="00E75E4E"/>
    <w:rsid w:val="00E77240"/>
    <w:rsid w:val="00E77907"/>
    <w:rsid w:val="00E82642"/>
    <w:rsid w:val="00E86B7D"/>
    <w:rsid w:val="00E971A4"/>
    <w:rsid w:val="00EA2F96"/>
    <w:rsid w:val="00EA687F"/>
    <w:rsid w:val="00EB27FB"/>
    <w:rsid w:val="00EB5FB0"/>
    <w:rsid w:val="00EB7AA1"/>
    <w:rsid w:val="00EC0F56"/>
    <w:rsid w:val="00EC34A8"/>
    <w:rsid w:val="00EC41B6"/>
    <w:rsid w:val="00EC7362"/>
    <w:rsid w:val="00EC75B8"/>
    <w:rsid w:val="00ED162B"/>
    <w:rsid w:val="00ED31D7"/>
    <w:rsid w:val="00ED55A8"/>
    <w:rsid w:val="00ED55DE"/>
    <w:rsid w:val="00ED57CC"/>
    <w:rsid w:val="00EE1163"/>
    <w:rsid w:val="00EE254E"/>
    <w:rsid w:val="00F01F8E"/>
    <w:rsid w:val="00F06B71"/>
    <w:rsid w:val="00F2071E"/>
    <w:rsid w:val="00F31153"/>
    <w:rsid w:val="00F31723"/>
    <w:rsid w:val="00F325D5"/>
    <w:rsid w:val="00F32D56"/>
    <w:rsid w:val="00F340F9"/>
    <w:rsid w:val="00F356D3"/>
    <w:rsid w:val="00F46651"/>
    <w:rsid w:val="00F600DD"/>
    <w:rsid w:val="00F650BE"/>
    <w:rsid w:val="00F65DCC"/>
    <w:rsid w:val="00F67CAE"/>
    <w:rsid w:val="00F74136"/>
    <w:rsid w:val="00F833DF"/>
    <w:rsid w:val="00F93A73"/>
    <w:rsid w:val="00F96371"/>
    <w:rsid w:val="00FA2352"/>
    <w:rsid w:val="00FA3DC6"/>
    <w:rsid w:val="00FA3EA3"/>
    <w:rsid w:val="00FA520E"/>
    <w:rsid w:val="00FC2177"/>
    <w:rsid w:val="00FC6442"/>
    <w:rsid w:val="00FF1836"/>
    <w:rsid w:val="00FF24A2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8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442"/>
  </w:style>
  <w:style w:type="paragraph" w:styleId="Nadpis1">
    <w:name w:val="heading 1"/>
    <w:basedOn w:val="Normlny"/>
    <w:next w:val="Normlny"/>
    <w:link w:val="Nadpis1Char"/>
    <w:uiPriority w:val="9"/>
    <w:qFormat/>
    <w:rsid w:val="00FC6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03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44D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44D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244D9"/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C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99"/>
    <w:qFormat/>
    <w:rsid w:val="00FC644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C6442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652D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652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B05CE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B03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D7855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442"/>
  </w:style>
  <w:style w:type="paragraph" w:styleId="Nadpis1">
    <w:name w:val="heading 1"/>
    <w:basedOn w:val="Normlny"/>
    <w:next w:val="Normlny"/>
    <w:link w:val="Nadpis1Char"/>
    <w:uiPriority w:val="9"/>
    <w:qFormat/>
    <w:rsid w:val="00FC6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03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44D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44D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244D9"/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C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99"/>
    <w:qFormat/>
    <w:rsid w:val="00FC644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C6442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652D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652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B05CE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B03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D7855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idsbk.sk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53DB-EC0C-43A3-8CE0-67520434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Horný Andrej</dc:creator>
  <cp:lastModifiedBy>Homérová Viera</cp:lastModifiedBy>
  <cp:revision>4</cp:revision>
  <dcterms:created xsi:type="dcterms:W3CDTF">2023-04-17T10:04:00Z</dcterms:created>
  <dcterms:modified xsi:type="dcterms:W3CDTF">2023-04-17T10:06:00Z</dcterms:modified>
</cp:coreProperties>
</file>