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1C1F83">
      <w:pPr>
        <w:pStyle w:val="tl1"/>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1C1F83"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361315" w:rsidRDefault="00361315" w:rsidP="001C1F83">
      <w:pPr>
        <w:pStyle w:val="tl1"/>
        <w:jc w:val="center"/>
        <w:rPr>
          <w:rFonts w:ascii="Times New Roman" w:hAnsi="Times New Roman" w:cs="Times New Roman"/>
          <w:b/>
          <w:bCs/>
          <w:i/>
          <w:caps/>
          <w:w w:val="150"/>
          <w:sz w:val="24"/>
          <w:szCs w:val="24"/>
        </w:rPr>
      </w:pPr>
      <w:r w:rsidRPr="00BE7EDF">
        <w:rPr>
          <w:rFonts w:ascii="Times New Roman" w:hAnsi="Times New Roman" w:cs="Times New Roman"/>
          <w:b/>
          <w:bCs/>
          <w:i/>
          <w:caps/>
          <w:w w:val="150"/>
          <w:sz w:val="24"/>
          <w:szCs w:val="24"/>
        </w:rPr>
        <w:lastRenderedPageBreak/>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lastRenderedPageBreak/>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w:t>
      </w:r>
      <w:r w:rsidR="00D81E8A">
        <w:rPr>
          <w:rFonts w:ascii="Times New Roman" w:hAnsi="Times New Roman" w:cs="Times New Roman"/>
          <w:sz w:val="24"/>
          <w:szCs w:val="24"/>
        </w:rPr>
        <w:t>dohody</w:t>
      </w:r>
      <w:r w:rsidRPr="00BE7EDF">
        <w:rPr>
          <w:rFonts w:ascii="Times New Roman" w:hAnsi="Times New Roman" w:cs="Times New Roman"/>
          <w:sz w:val="24"/>
          <w:szCs w:val="24"/>
        </w:rPr>
        <w:t xml:space="preserve">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D81E8A" w:rsidRPr="00E315EE" w:rsidRDefault="00D81E8A" w:rsidP="00E315EE">
      <w:pPr>
        <w:pStyle w:val="Zkladntext"/>
        <w:numPr>
          <w:ilvl w:val="1"/>
          <w:numId w:val="5"/>
        </w:numPr>
        <w:ind w:hanging="720"/>
        <w:rPr>
          <w:b w:val="0"/>
        </w:rPr>
      </w:pPr>
      <w:r>
        <w:rPr>
          <w:b w:val="0"/>
        </w:rPr>
        <w:t xml:space="preserve">Zmluvné strany sa výslovne dohodli, že v prípade ak predávajúci počas mimoriadnej situácie, t.j. zásahov úradných miest, za ktoré nezodpovedá žiadna zo zmluvných strán </w:t>
      </w:r>
      <w:r>
        <w:rPr>
          <w:b w:val="0"/>
        </w:rPr>
        <w:lastRenderedPageBreak/>
        <w:t xml:space="preserve">a/alebo zásahov vis major, nemôže dodať tovar v lehote stanovenej podľa predchádzajúceho bodu tejto dohody, môžu sa zmluvné strany na základe písomnej dohody dohodnúť na predĺžení lehoty dodania tovaru. Predĺženie lehoty dodania </w:t>
      </w:r>
      <w:r w:rsidR="00BD43CA">
        <w:rPr>
          <w:b w:val="0"/>
        </w:rPr>
        <w:t>tovaru nesmie mať trvalý charakter počas celej doby trvania tejto dohody, a musí byť odôvodnené objektívnymi dôvodmi, ktoré vyplývajú zo zásahov úradných miest a/alebo vis major.</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lastRenderedPageBreak/>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cena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w:t>
      </w:r>
      <w:r w:rsidRPr="00BE7EDF">
        <w:rPr>
          <w:rFonts w:ascii="Times New Roman" w:hAnsi="Times New Roman" w:cs="Times New Roman"/>
          <w:bCs/>
          <w:sz w:val="24"/>
          <w:szCs w:val="24"/>
        </w:rPr>
        <w:lastRenderedPageBreak/>
        <w:t xml:space="preserve">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w:t>
      </w:r>
      <w:r w:rsidR="00694FAA">
        <w:rPr>
          <w:rFonts w:ascii="Times New Roman" w:hAnsi="Times New Roman" w:cs="Times New Roman"/>
          <w:sz w:val="24"/>
          <w:szCs w:val="24"/>
        </w:rPr>
        <w:t xml:space="preserve">.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1B3EE6"/>
    <w:rsid w:val="001C1F83"/>
    <w:rsid w:val="001C7707"/>
    <w:rsid w:val="00225720"/>
    <w:rsid w:val="00245129"/>
    <w:rsid w:val="0025770B"/>
    <w:rsid w:val="002C43C4"/>
    <w:rsid w:val="002C5BF9"/>
    <w:rsid w:val="00334770"/>
    <w:rsid w:val="003605C2"/>
    <w:rsid w:val="00360B13"/>
    <w:rsid w:val="00361315"/>
    <w:rsid w:val="003F61F8"/>
    <w:rsid w:val="004121F4"/>
    <w:rsid w:val="004A271E"/>
    <w:rsid w:val="00542A47"/>
    <w:rsid w:val="00561334"/>
    <w:rsid w:val="005A7D40"/>
    <w:rsid w:val="006152AA"/>
    <w:rsid w:val="00625A9B"/>
    <w:rsid w:val="00663767"/>
    <w:rsid w:val="00664ADB"/>
    <w:rsid w:val="00685444"/>
    <w:rsid w:val="00694FAA"/>
    <w:rsid w:val="006977DA"/>
    <w:rsid w:val="006A5C3A"/>
    <w:rsid w:val="006A7FA4"/>
    <w:rsid w:val="006F501F"/>
    <w:rsid w:val="00724DE0"/>
    <w:rsid w:val="00736D6C"/>
    <w:rsid w:val="00737C80"/>
    <w:rsid w:val="00741928"/>
    <w:rsid w:val="00775AB2"/>
    <w:rsid w:val="007D145D"/>
    <w:rsid w:val="007F1CBD"/>
    <w:rsid w:val="0081784E"/>
    <w:rsid w:val="008271C6"/>
    <w:rsid w:val="008544F9"/>
    <w:rsid w:val="008653C2"/>
    <w:rsid w:val="008915CE"/>
    <w:rsid w:val="008A4D8C"/>
    <w:rsid w:val="008B414F"/>
    <w:rsid w:val="008E6A9F"/>
    <w:rsid w:val="008F37E3"/>
    <w:rsid w:val="00911679"/>
    <w:rsid w:val="009935E6"/>
    <w:rsid w:val="00993FA6"/>
    <w:rsid w:val="009A2848"/>
    <w:rsid w:val="009D1B75"/>
    <w:rsid w:val="009E4D05"/>
    <w:rsid w:val="009F07F6"/>
    <w:rsid w:val="00A03019"/>
    <w:rsid w:val="00A065AB"/>
    <w:rsid w:val="00A62C43"/>
    <w:rsid w:val="00A62D1B"/>
    <w:rsid w:val="00A829D4"/>
    <w:rsid w:val="00A8483E"/>
    <w:rsid w:val="00AB1DE9"/>
    <w:rsid w:val="00AC3629"/>
    <w:rsid w:val="00B03182"/>
    <w:rsid w:val="00B1718B"/>
    <w:rsid w:val="00B61829"/>
    <w:rsid w:val="00B676B9"/>
    <w:rsid w:val="00BB6457"/>
    <w:rsid w:val="00BD0BD5"/>
    <w:rsid w:val="00BD43CA"/>
    <w:rsid w:val="00BF3C1A"/>
    <w:rsid w:val="00BF4D1A"/>
    <w:rsid w:val="00D119EA"/>
    <w:rsid w:val="00D42B44"/>
    <w:rsid w:val="00D81E8A"/>
    <w:rsid w:val="00D82ECF"/>
    <w:rsid w:val="00D910D1"/>
    <w:rsid w:val="00DF1DD9"/>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A3F29-26DE-4684-96FA-7A4DD1B2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5337</Words>
  <Characters>30425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7</cp:revision>
  <dcterms:created xsi:type="dcterms:W3CDTF">2023-03-01T07:20:00Z</dcterms:created>
  <dcterms:modified xsi:type="dcterms:W3CDTF">2023-05-03T07:49:00Z</dcterms:modified>
</cp:coreProperties>
</file>