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495909278"/>
      <w:bookmarkStart w:id="1" w:name="_Toc32568772"/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12DC2F2D" w14:textId="00F9BC9E" w:rsidR="00C84A8B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2758EA" w:rsidRPr="002758EA">
        <w:rPr>
          <w:rFonts w:eastAsia="Courier New"/>
          <w:b/>
          <w:bCs/>
          <w:iCs/>
          <w:noProof/>
          <w:sz w:val="22"/>
          <w:szCs w:val="22"/>
          <w:lang w:eastAsia="en-US"/>
        </w:rPr>
        <w:t>Servis lisu a dotrieďovacej linky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“ 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5F703791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7F76C8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„</w:t>
                          </w:r>
                          <w:r w:rsidR="002758EA" w:rsidRPr="002758E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Servis lisu a dotrieďovacej linky</w:t>
                          </w:r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“</w:t>
                          </w:r>
                          <w:r w:rsidR="002271B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2758EA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2758EA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5F74" w14:textId="77777777" w:rsidR="006C05E5" w:rsidRDefault="006C05E5" w:rsidP="00070346">
      <w:r>
        <w:separator/>
      </w:r>
    </w:p>
  </w:endnote>
  <w:endnote w:type="continuationSeparator" w:id="0">
    <w:p w14:paraId="6175BD64" w14:textId="77777777" w:rsidR="006C05E5" w:rsidRDefault="006C05E5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8B4F" w14:textId="77777777" w:rsidR="006C05E5" w:rsidRDefault="006C05E5" w:rsidP="00070346">
      <w:r>
        <w:separator/>
      </w:r>
    </w:p>
  </w:footnote>
  <w:footnote w:type="continuationSeparator" w:id="0">
    <w:p w14:paraId="6571260E" w14:textId="77777777" w:rsidR="006C05E5" w:rsidRDefault="006C05E5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2758EA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F76C8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E82F4A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2023-06-19T10:25:00Z</dcterms:modified>
</cp:coreProperties>
</file>