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 w:rsidR="00456BC5">
        <w:rPr>
          <w:rFonts w:ascii="Arial Narrow" w:hAnsi="Arial Narrow"/>
          <w:b/>
        </w:rPr>
        <w:t>4187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1</w:t>
      </w:r>
      <w:r w:rsidR="001671FF">
        <w:rPr>
          <w:rFonts w:ascii="Arial Narrow" w:hAnsi="Arial Narrow"/>
          <w:b/>
        </w:rPr>
        <w:t>8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456BC5">
        <w:rPr>
          <w:rFonts w:ascii="Arial Narrow" w:hAnsi="Arial Narrow"/>
          <w:color w:val="000000"/>
          <w:sz w:val="16"/>
          <w:szCs w:val="16"/>
        </w:rPr>
        <w:t>28</w:t>
      </w:r>
      <w:r w:rsidRPr="00F96AAE">
        <w:rPr>
          <w:rFonts w:ascii="Arial Narrow" w:hAnsi="Arial Narrow"/>
          <w:color w:val="000000"/>
          <w:sz w:val="16"/>
          <w:szCs w:val="16"/>
        </w:rPr>
        <w:t>.0</w:t>
      </w:r>
      <w:r w:rsidR="00456BC5">
        <w:rPr>
          <w:rFonts w:ascii="Arial Narrow" w:hAnsi="Arial Narrow"/>
          <w:color w:val="000000"/>
          <w:sz w:val="16"/>
          <w:szCs w:val="16"/>
        </w:rPr>
        <w:t>6</w:t>
      </w:r>
      <w:r w:rsidRPr="00F96AAE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456BC5">
        <w:rPr>
          <w:b/>
          <w:color w:val="000000"/>
        </w:rPr>
        <w:t>Prostriedky osobnej ochrany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 xml:space="preserve">/S </w:t>
      </w:r>
      <w:r w:rsidR="00456BC5">
        <w:t>105</w:t>
      </w:r>
      <w:r w:rsidR="001671FF" w:rsidRPr="00511E33">
        <w:t>-</w:t>
      </w:r>
      <w:r w:rsidR="00456BC5">
        <w:t>327925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1671FF">
        <w:t>0</w:t>
      </w:r>
      <w:r w:rsidR="00456BC5">
        <w:t>2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456BC5">
        <w:t>109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1671FF">
        <w:t>1</w:t>
      </w:r>
      <w:r w:rsidR="00456BC5">
        <w:t>9393</w:t>
      </w:r>
      <w:r w:rsidR="001671FF" w:rsidRPr="00511E33">
        <w:t xml:space="preserve"> – MS</w:t>
      </w:r>
      <w:r w:rsidR="00456BC5">
        <w:t>T</w:t>
      </w:r>
      <w:r w:rsidR="001671FF" w:rsidRPr="00511E33">
        <w:t xml:space="preserve"> zo dňa </w:t>
      </w:r>
      <w:r w:rsidR="001671FF">
        <w:t>0</w:t>
      </w:r>
      <w:r w:rsidR="00456BC5">
        <w:t>5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7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456BC5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8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456BC5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7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456BC5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8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456BC5">
        <w:rPr>
          <w:rFonts w:ascii="Arial Narrow" w:hAnsi="Arial Narrow"/>
          <w:b/>
          <w:sz w:val="22"/>
          <w:szCs w:val="22"/>
        </w:rPr>
        <w:t>7</w:t>
      </w:r>
      <w:bookmarkStart w:id="0" w:name="_GoBack"/>
      <w:bookmarkEnd w:id="0"/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5" w:rsidRDefault="00EE5C25" w:rsidP="000D18D0">
      <w:r>
        <w:separator/>
      </w:r>
    </w:p>
  </w:endnote>
  <w:endnote w:type="continuationSeparator" w:id="0">
    <w:p w:rsidR="00EE5C25" w:rsidRDefault="00EE5C2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EE5C25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EE5C25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5" w:rsidRDefault="00EE5C25" w:rsidP="000D18D0">
      <w:r>
        <w:separator/>
      </w:r>
    </w:p>
  </w:footnote>
  <w:footnote w:type="continuationSeparator" w:id="0">
    <w:p w:rsidR="00EE5C25" w:rsidRDefault="00EE5C2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6BC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0223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5C25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C85B-9358-4D6F-9B82-83382B35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102</cp:revision>
  <cp:lastPrinted>2023-06-28T07:57:00Z</cp:lastPrinted>
  <dcterms:created xsi:type="dcterms:W3CDTF">2017-04-20T06:28:00Z</dcterms:created>
  <dcterms:modified xsi:type="dcterms:W3CDTF">2023-06-28T08:01:00Z</dcterms:modified>
</cp:coreProperties>
</file>