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0095DB76" w:rsidR="00567253" w:rsidRDefault="00603245" w:rsidP="001525AB">
      <w:pPr>
        <w:jc w:val="center"/>
        <w:rPr>
          <w:rFonts w:ascii="Times New Roman" w:eastAsia="Calibri" w:hAnsi="Times New Roman"/>
          <w:b/>
          <w:bCs/>
          <w:i/>
          <w:sz w:val="24"/>
        </w:rPr>
      </w:pPr>
      <w:r>
        <w:rPr>
          <w:rFonts w:ascii="Times New Roman" w:eastAsia="Calibri" w:hAnsi="Times New Roman"/>
          <w:b/>
          <w:bCs/>
          <w:i/>
          <w:sz w:val="24"/>
        </w:rPr>
        <w:t>Liečivá pre srdcovocievny systém</w:t>
      </w:r>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77F6F595"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603245">
        <w:rPr>
          <w:rFonts w:ascii="Tahoma" w:eastAsia="Tahoma" w:hAnsi="Tahoma" w:cs="Tahoma"/>
          <w:sz w:val="18"/>
        </w:rPr>
        <w:t xml:space="preserve">máj 2023         </w:t>
      </w:r>
      <w:r w:rsidR="004A2245">
        <w:rPr>
          <w:rFonts w:ascii="Tahoma" w:eastAsia="Tahoma" w:hAnsi="Tahoma" w:cs="Tahoma"/>
          <w:sz w:val="18"/>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221196AD" w14:textId="78FB7426" w:rsidR="00731910" w:rsidRDefault="00731910" w:rsidP="007F4845">
      <w:pPr>
        <w:rPr>
          <w:rFonts w:ascii="Times New Roman" w:hAnsi="Times New Roman"/>
          <w:szCs w:val="20"/>
        </w:rPr>
      </w:pPr>
    </w:p>
    <w:p w14:paraId="61A3C0BA" w14:textId="62258133" w:rsidR="00031FFD" w:rsidRDefault="00031FFD" w:rsidP="007F4845">
      <w:pPr>
        <w:rPr>
          <w:rFonts w:ascii="Times New Roman" w:hAnsi="Times New Roman"/>
          <w:szCs w:val="20"/>
        </w:rPr>
      </w:pPr>
    </w:p>
    <w:p w14:paraId="53DA755E" w14:textId="7ED569F1" w:rsidR="00031FFD" w:rsidRDefault="00031FFD" w:rsidP="007F4845">
      <w:pPr>
        <w:rPr>
          <w:rFonts w:ascii="Times New Roman" w:hAnsi="Times New Roman"/>
          <w:szCs w:val="20"/>
        </w:rPr>
      </w:pPr>
    </w:p>
    <w:p w14:paraId="5C4E37BD" w14:textId="3FBD2ACC" w:rsidR="00031FFD" w:rsidRDefault="00031FFD" w:rsidP="007F4845">
      <w:pPr>
        <w:rPr>
          <w:rFonts w:ascii="Times New Roman" w:hAnsi="Times New Roman"/>
          <w:szCs w:val="20"/>
        </w:rPr>
      </w:pPr>
    </w:p>
    <w:p w14:paraId="571FA57B" w14:textId="741C438F" w:rsidR="00031FFD" w:rsidRDefault="00031FFD" w:rsidP="007F4845">
      <w:pPr>
        <w:rPr>
          <w:rFonts w:ascii="Times New Roman" w:hAnsi="Times New Roman"/>
          <w:szCs w:val="20"/>
        </w:rPr>
      </w:pPr>
    </w:p>
    <w:p w14:paraId="7B58CA05" w14:textId="77777777" w:rsidR="00031FFD" w:rsidRPr="002967DC" w:rsidRDefault="00031FFD"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58C7CDE5" w:rsidR="002E55F8" w:rsidRDefault="002E55F8" w:rsidP="003B57C6">
      <w:pPr>
        <w:ind w:left="2836" w:firstLine="709"/>
        <w:rPr>
          <w:rFonts w:ascii="Times New Roman" w:hAnsi="Times New Roman"/>
          <w:b/>
          <w:szCs w:val="20"/>
        </w:rPr>
      </w:pPr>
    </w:p>
    <w:p w14:paraId="0432BA5D" w14:textId="2924320A" w:rsidR="00031FFD" w:rsidRDefault="00031FFD" w:rsidP="003B57C6">
      <w:pPr>
        <w:ind w:left="2836" w:firstLine="709"/>
        <w:rPr>
          <w:rFonts w:ascii="Times New Roman" w:hAnsi="Times New Roman"/>
          <w:b/>
          <w:szCs w:val="20"/>
        </w:rPr>
      </w:pPr>
    </w:p>
    <w:p w14:paraId="6CA08292" w14:textId="77777777" w:rsidR="00031FFD" w:rsidRDefault="00031FFD"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0D09354"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DD5990">
        <w:rPr>
          <w:rFonts w:ascii="Times New Roman" w:hAnsi="Times New Roman"/>
          <w:szCs w:val="20"/>
        </w:rPr>
        <w:t xml:space="preserve">              </w:t>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lastRenderedPageBreak/>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76CC5CBB" w14:textId="737C5780" w:rsidR="007A1BE0" w:rsidRPr="00667058" w:rsidRDefault="0017357F" w:rsidP="00C05CFB">
      <w:pPr>
        <w:pStyle w:val="Zkladntext3"/>
        <w:jc w:val="both"/>
        <w:rPr>
          <w:rFonts w:ascii="Times New Roman" w:hAnsi="Times New Roman"/>
          <w:b/>
          <w:color w:val="000000" w:themeColor="text1"/>
        </w:rPr>
      </w:pPr>
      <w:r w:rsidRPr="00B62124">
        <w:rPr>
          <w:rFonts w:ascii="Times New Roman" w:hAnsi="Times New Roman"/>
          <w:b/>
        </w:rPr>
        <w:tab/>
      </w:r>
      <w:r w:rsidR="005228CE" w:rsidRPr="00C14A9F">
        <w:rPr>
          <w:rFonts w:ascii="Times New Roman" w:hAnsi="Times New Roman"/>
          <w:b/>
          <w:color w:val="auto"/>
        </w:rPr>
        <w:t xml:space="preserve">   </w:t>
      </w:r>
      <w:r w:rsidR="00603245">
        <w:rPr>
          <w:rFonts w:ascii="Times New Roman" w:hAnsi="Times New Roman"/>
          <w:b/>
          <w:color w:val="auto"/>
        </w:rPr>
        <w:t>Liečivá pre srdcovocievny systém</w:t>
      </w:r>
    </w:p>
    <w:p w14:paraId="190E67A6" w14:textId="77777777" w:rsidR="00C05CFB" w:rsidRDefault="00C05CFB" w:rsidP="00C05CFB">
      <w:pPr>
        <w:pStyle w:val="Zkladntext3"/>
        <w:jc w:val="both"/>
        <w:rPr>
          <w:rFonts w:ascii="Times New Roman" w:hAnsi="Times New Roman"/>
          <w:color w:val="auto"/>
        </w:rPr>
      </w:pPr>
    </w:p>
    <w:p w14:paraId="44935A66" w14:textId="3EF5681C" w:rsidR="00AA7191" w:rsidRDefault="00933154" w:rsidP="002C5B5A">
      <w:pPr>
        <w:pStyle w:val="Zkladntext3"/>
        <w:jc w:val="both"/>
        <w:rPr>
          <w:rFonts w:ascii="Times New Roman" w:hAnsi="Times New Roman"/>
          <w:color w:val="auto"/>
        </w:rPr>
      </w:pPr>
      <w:r>
        <w:rPr>
          <w:rFonts w:ascii="Times New Roman" w:hAnsi="Times New Roman"/>
          <w:color w:val="auto"/>
        </w:rPr>
        <w:t xml:space="preserve">Predmetom zákazky </w:t>
      </w:r>
      <w:r w:rsidR="008571DD">
        <w:rPr>
          <w:rFonts w:ascii="Times New Roman" w:hAnsi="Times New Roman"/>
          <w:color w:val="auto"/>
        </w:rPr>
        <w:t xml:space="preserve">sú lieky- </w:t>
      </w:r>
      <w:r w:rsidR="00AA7191">
        <w:rPr>
          <w:rFonts w:ascii="Times New Roman" w:hAnsi="Times New Roman"/>
          <w:color w:val="auto"/>
        </w:rPr>
        <w:t xml:space="preserve">     </w:t>
      </w:r>
      <w:r w:rsidR="00603245">
        <w:rPr>
          <w:rFonts w:ascii="Times New Roman" w:hAnsi="Times New Roman"/>
          <w:color w:val="auto"/>
        </w:rPr>
        <w:t>Liečivá pre srdcovocievny systém</w:t>
      </w:r>
    </w:p>
    <w:p w14:paraId="7D993714" w14:textId="77777777" w:rsidR="00AA7191" w:rsidRDefault="00AA7191" w:rsidP="00AA7191">
      <w:pPr>
        <w:pStyle w:val="Zkladntext3"/>
        <w:ind w:left="2655"/>
        <w:jc w:val="both"/>
        <w:rPr>
          <w:rFonts w:ascii="Times New Roman" w:hAnsi="Times New Roman"/>
          <w:color w:val="auto"/>
        </w:rPr>
      </w:pP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24E532FD" w14:textId="3BCA5058" w:rsidR="00F54DCE" w:rsidRDefault="008158B4" w:rsidP="002C5B5A">
      <w:pPr>
        <w:pStyle w:val="Zkladntext3"/>
        <w:jc w:val="both"/>
        <w:rPr>
          <w:rFonts w:ascii="Times New Roman" w:hAnsi="Times New Roman"/>
          <w:color w:val="auto"/>
        </w:rPr>
      </w:pPr>
      <w:r w:rsidRPr="00F54DCE">
        <w:rPr>
          <w:rFonts w:ascii="Times New Roman" w:hAnsi="Times New Roman"/>
          <w:b/>
          <w:color w:val="auto"/>
          <w:u w:val="single"/>
        </w:rPr>
        <w:t>Hlavný predmet</w:t>
      </w:r>
      <w:r w:rsidRPr="00F54DCE">
        <w:rPr>
          <w:rFonts w:ascii="Times New Roman" w:hAnsi="Times New Roman"/>
          <w:b/>
          <w:color w:val="auto"/>
        </w:rPr>
        <w:t xml:space="preserve">:  </w:t>
      </w:r>
      <w:r w:rsidRPr="00F54DCE">
        <w:rPr>
          <w:rFonts w:ascii="Times New Roman" w:hAnsi="Times New Roman"/>
          <w:color w:val="auto"/>
        </w:rPr>
        <w:t xml:space="preserve"> </w:t>
      </w:r>
      <w:r w:rsidR="00603245">
        <w:rPr>
          <w:rFonts w:ascii="Times New Roman" w:hAnsi="Times New Roman"/>
          <w:color w:val="auto"/>
        </w:rPr>
        <w:t>33622000-6</w:t>
      </w:r>
      <w:r w:rsidR="00F54DCE" w:rsidRPr="00F54DCE">
        <w:rPr>
          <w:rFonts w:ascii="Times New Roman" w:hAnsi="Times New Roman"/>
          <w:color w:val="auto"/>
        </w:rPr>
        <w:t xml:space="preserve"> </w:t>
      </w:r>
    </w:p>
    <w:p w14:paraId="37889A30" w14:textId="07E1D51A" w:rsidR="00F54DCE" w:rsidRDefault="00F54DCE" w:rsidP="00F54DCE">
      <w:pPr>
        <w:pStyle w:val="Zkladntext3"/>
        <w:jc w:val="both"/>
        <w:rPr>
          <w:rFonts w:ascii="Times New Roman" w:hAnsi="Times New Roman"/>
          <w:color w:val="auto"/>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104E1F6E"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603245">
        <w:rPr>
          <w:rFonts w:ascii="Times New Roman" w:hAnsi="Times New Roman"/>
          <w:b/>
          <w:color w:val="000000" w:themeColor="text1"/>
          <w:szCs w:val="20"/>
          <w:shd w:val="clear" w:color="auto" w:fill="FFFFFF" w:themeFill="background1"/>
        </w:rPr>
        <w:t>306387,88</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68DE43E5"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DD5990">
        <w:rPr>
          <w:rFonts w:ascii="Times New Roman" w:hAnsi="Times New Roman"/>
          <w:b/>
          <w:szCs w:val="20"/>
        </w:rPr>
        <w:t>09.06</w:t>
      </w:r>
      <w:r w:rsidR="00031FFD">
        <w:rPr>
          <w:rFonts w:ascii="Times New Roman" w:hAnsi="Times New Roman"/>
          <w:b/>
          <w:szCs w:val="20"/>
        </w:rPr>
        <w:t>.202</w:t>
      </w:r>
      <w:r w:rsidR="002C5B5A">
        <w:rPr>
          <w:rFonts w:ascii="Times New Roman" w:hAnsi="Times New Roman"/>
          <w:b/>
          <w:szCs w:val="20"/>
        </w:rPr>
        <w:t>3</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w:t>
      </w:r>
      <w:r w:rsidR="00031FFD">
        <w:rPr>
          <w:rFonts w:ascii="Times New Roman" w:hAnsi="Times New Roman"/>
          <w:b/>
          <w:color w:val="000000" w:themeColor="text1"/>
          <w:szCs w:val="20"/>
        </w:rPr>
        <w:t>09</w:t>
      </w:r>
      <w:r w:rsidRPr="00667058">
        <w:rPr>
          <w:rFonts w:ascii="Times New Roman" w:hAnsi="Times New Roman"/>
          <w:b/>
          <w:color w:val="000000" w:themeColor="text1"/>
          <w:szCs w:val="20"/>
        </w:rPr>
        <w:t xml:space="preserve">.00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8"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 xml:space="preserve">Ak je odosielateľom informácie záujemca, resp. uchádzač, tak po prihlásení do systému a predmetnej zákazky môže prostredníctvom komunikačného rozhrania odosielať správy a potrebné prílohy verejnému </w:t>
      </w:r>
      <w:r w:rsidRPr="00506B3D">
        <w:rPr>
          <w:rFonts w:ascii="Times New Roman" w:hAnsi="Times New Roman"/>
          <w:szCs w:val="20"/>
        </w:rPr>
        <w:lastRenderedPageBreak/>
        <w:t>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4C3E7886" w14:textId="2F46AFC1"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Pr="00667058">
        <w:rPr>
          <w:rFonts w:ascii="Times New Roman" w:hAnsi="Times New Roman"/>
          <w:szCs w:val="20"/>
        </w:rPr>
        <w:t xml:space="preserve">do </w:t>
      </w:r>
      <w:r w:rsidR="00661DCA" w:rsidRPr="00667058">
        <w:rPr>
          <w:rFonts w:ascii="Times New Roman" w:hAnsi="Times New Roman"/>
          <w:szCs w:val="20"/>
        </w:rPr>
        <w:t>2</w:t>
      </w:r>
      <w:r w:rsidR="00F71338">
        <w:rPr>
          <w:rFonts w:ascii="Times New Roman" w:hAnsi="Times New Roman"/>
          <w:szCs w:val="20"/>
        </w:rPr>
        <w:t>6</w:t>
      </w:r>
      <w:r w:rsidR="00661DCA" w:rsidRPr="00667058">
        <w:rPr>
          <w:rFonts w:ascii="Times New Roman" w:hAnsi="Times New Roman"/>
          <w:szCs w:val="20"/>
        </w:rPr>
        <w:t>.07.2022</w:t>
      </w:r>
      <w:r w:rsidRPr="00667058">
        <w:rPr>
          <w:rFonts w:ascii="Times New Roman" w:hAnsi="Times New Roman"/>
          <w:szCs w:val="20"/>
        </w:rPr>
        <w:t xml:space="preserve"> do 12,00</w:t>
      </w:r>
      <w:r w:rsidRPr="00903F4F">
        <w:rPr>
          <w:rFonts w:ascii="Times New Roman" w:hAnsi="Times New Roman"/>
          <w:szCs w:val="20"/>
        </w:rPr>
        <w:t xml:space="preserve"> hodiny.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lastRenderedPageBreak/>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lastRenderedPageBreak/>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031FFD">
      <w:pPr>
        <w:shd w:val="clear" w:color="auto" w:fill="FFFFFF" w:themeFill="background1"/>
        <w:spacing w:after="120"/>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bookmarkEnd w:id="21"/>
    </w:p>
    <w:sectPr w:rsidR="00615451" w:rsidSect="00EE24FE">
      <w:footerReference w:type="default" r:id="rId9"/>
      <w:headerReference w:type="first" r:id="rId10"/>
      <w:footerReference w:type="first" r:id="rId11"/>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DFABB" w14:textId="77777777" w:rsidR="00850E58" w:rsidRDefault="00850E58" w:rsidP="00241FD2">
      <w:r>
        <w:separator/>
      </w:r>
    </w:p>
  </w:endnote>
  <w:endnote w:type="continuationSeparator" w:id="0">
    <w:p w14:paraId="56368211" w14:textId="77777777" w:rsidR="00850E58" w:rsidRDefault="00850E58" w:rsidP="00241FD2">
      <w:r>
        <w:continuationSeparator/>
      </w:r>
    </w:p>
  </w:endnote>
  <w:endnote w:type="continuationNotice" w:id="1">
    <w:p w14:paraId="24FA11DA" w14:textId="77777777" w:rsidR="00850E58" w:rsidRDefault="00850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344CE77F"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603245">
      <w:rPr>
        <w:rFonts w:ascii="Times New Roman" w:eastAsia="Calibri" w:hAnsi="Times New Roman"/>
        <w:bCs/>
        <w:sz w:val="22"/>
      </w:rPr>
      <w:t>Liečivá pre srdcovocievny systém   S</w:t>
    </w:r>
    <w:r>
      <w:rPr>
        <w:rFonts w:asciiTheme="majorHAnsi" w:hAnsiTheme="majorHAnsi"/>
      </w:rPr>
      <w:t xml:space="preserve">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6412B3CE"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w:t>
    </w:r>
    <w:r w:rsidR="002C5B5A">
      <w:rPr>
        <w:rFonts w:ascii="Times New Roman" w:eastAsia="Calibri" w:hAnsi="Times New Roman"/>
        <w:bCs/>
        <w:sz w:val="22"/>
      </w:rPr>
      <w:t xml:space="preserve"> </w:t>
    </w:r>
    <w:r w:rsidR="00603245">
      <w:rPr>
        <w:rFonts w:ascii="Times New Roman" w:eastAsia="Calibri" w:hAnsi="Times New Roman"/>
        <w:bCs/>
        <w:sz w:val="22"/>
      </w:rPr>
      <w:t>Liečivá pre srdcovocievny systém</w:t>
    </w:r>
    <w:r w:rsidR="00031FFD">
      <w:rPr>
        <w:rFonts w:ascii="Times New Roman" w:eastAsia="Calibri" w:hAnsi="Times New Roman"/>
        <w:bCs/>
        <w:sz w:val="22"/>
      </w:rPr>
      <w:t xml:space="preserve"> </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BBFD" w14:textId="77777777" w:rsidR="00850E58" w:rsidRDefault="00850E58" w:rsidP="00241FD2">
      <w:r>
        <w:separator/>
      </w:r>
    </w:p>
  </w:footnote>
  <w:footnote w:type="continuationSeparator" w:id="0">
    <w:p w14:paraId="5E13A73F" w14:textId="77777777" w:rsidR="00850E58" w:rsidRDefault="00850E58" w:rsidP="00241FD2">
      <w:r>
        <w:continuationSeparator/>
      </w:r>
    </w:p>
  </w:footnote>
  <w:footnote w:type="continuationNotice" w:id="1">
    <w:p w14:paraId="3969EF95" w14:textId="77777777" w:rsidR="00850E58" w:rsidRDefault="00850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270A76"/>
    <w:multiLevelType w:val="hybridMultilevel"/>
    <w:tmpl w:val="EED4FEB4"/>
    <w:lvl w:ilvl="0" w:tplc="35AA0944">
      <w:numFmt w:val="bullet"/>
      <w:lvlText w:val="-"/>
      <w:lvlJc w:val="left"/>
      <w:pPr>
        <w:ind w:left="2655" w:hanging="360"/>
      </w:pPr>
      <w:rPr>
        <w:rFonts w:ascii="Times New Roman" w:eastAsia="Times New Roman" w:hAnsi="Times New Roman" w:cs="Times New Roman" w:hint="default"/>
      </w:rPr>
    </w:lvl>
    <w:lvl w:ilvl="1" w:tplc="041B0003" w:tentative="1">
      <w:start w:val="1"/>
      <w:numFmt w:val="bullet"/>
      <w:lvlText w:val="o"/>
      <w:lvlJc w:val="left"/>
      <w:pPr>
        <w:ind w:left="3375" w:hanging="360"/>
      </w:pPr>
      <w:rPr>
        <w:rFonts w:ascii="Courier New" w:hAnsi="Courier New" w:cs="Courier New" w:hint="default"/>
      </w:rPr>
    </w:lvl>
    <w:lvl w:ilvl="2" w:tplc="041B0005" w:tentative="1">
      <w:start w:val="1"/>
      <w:numFmt w:val="bullet"/>
      <w:lvlText w:val=""/>
      <w:lvlJc w:val="left"/>
      <w:pPr>
        <w:ind w:left="4095" w:hanging="360"/>
      </w:pPr>
      <w:rPr>
        <w:rFonts w:ascii="Wingdings" w:hAnsi="Wingdings" w:hint="default"/>
      </w:rPr>
    </w:lvl>
    <w:lvl w:ilvl="3" w:tplc="041B0001" w:tentative="1">
      <w:start w:val="1"/>
      <w:numFmt w:val="bullet"/>
      <w:lvlText w:val=""/>
      <w:lvlJc w:val="left"/>
      <w:pPr>
        <w:ind w:left="4815" w:hanging="360"/>
      </w:pPr>
      <w:rPr>
        <w:rFonts w:ascii="Symbol" w:hAnsi="Symbol" w:hint="default"/>
      </w:rPr>
    </w:lvl>
    <w:lvl w:ilvl="4" w:tplc="041B0003" w:tentative="1">
      <w:start w:val="1"/>
      <w:numFmt w:val="bullet"/>
      <w:lvlText w:val="o"/>
      <w:lvlJc w:val="left"/>
      <w:pPr>
        <w:ind w:left="5535" w:hanging="360"/>
      </w:pPr>
      <w:rPr>
        <w:rFonts w:ascii="Courier New" w:hAnsi="Courier New" w:cs="Courier New" w:hint="default"/>
      </w:rPr>
    </w:lvl>
    <w:lvl w:ilvl="5" w:tplc="041B0005" w:tentative="1">
      <w:start w:val="1"/>
      <w:numFmt w:val="bullet"/>
      <w:lvlText w:val=""/>
      <w:lvlJc w:val="left"/>
      <w:pPr>
        <w:ind w:left="6255" w:hanging="360"/>
      </w:pPr>
      <w:rPr>
        <w:rFonts w:ascii="Wingdings" w:hAnsi="Wingdings" w:hint="default"/>
      </w:rPr>
    </w:lvl>
    <w:lvl w:ilvl="6" w:tplc="041B0001" w:tentative="1">
      <w:start w:val="1"/>
      <w:numFmt w:val="bullet"/>
      <w:lvlText w:val=""/>
      <w:lvlJc w:val="left"/>
      <w:pPr>
        <w:ind w:left="6975" w:hanging="360"/>
      </w:pPr>
      <w:rPr>
        <w:rFonts w:ascii="Symbol" w:hAnsi="Symbol" w:hint="default"/>
      </w:rPr>
    </w:lvl>
    <w:lvl w:ilvl="7" w:tplc="041B0003" w:tentative="1">
      <w:start w:val="1"/>
      <w:numFmt w:val="bullet"/>
      <w:lvlText w:val="o"/>
      <w:lvlJc w:val="left"/>
      <w:pPr>
        <w:ind w:left="7695" w:hanging="360"/>
      </w:pPr>
      <w:rPr>
        <w:rFonts w:ascii="Courier New" w:hAnsi="Courier New" w:cs="Courier New" w:hint="default"/>
      </w:rPr>
    </w:lvl>
    <w:lvl w:ilvl="8" w:tplc="041B0005" w:tentative="1">
      <w:start w:val="1"/>
      <w:numFmt w:val="bullet"/>
      <w:lvlText w:val=""/>
      <w:lvlJc w:val="left"/>
      <w:pPr>
        <w:ind w:left="8415" w:hanging="360"/>
      </w:pPr>
      <w:rPr>
        <w:rFonts w:ascii="Wingdings" w:hAnsi="Wingdings" w:hint="default"/>
      </w:rPr>
    </w:lvl>
  </w:abstractNum>
  <w:abstractNum w:abstractNumId="69"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1"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2"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4"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7"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8"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9"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0"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4"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6"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8"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2"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3"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5"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6"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80"/>
  </w:num>
  <w:num w:numId="2" w16cid:durableId="1132022809">
    <w:abstractNumId w:val="36"/>
  </w:num>
  <w:num w:numId="3" w16cid:durableId="1802534463">
    <w:abstractNumId w:val="72"/>
  </w:num>
  <w:num w:numId="4" w16cid:durableId="147671093">
    <w:abstractNumId w:val="85"/>
  </w:num>
  <w:num w:numId="5" w16cid:durableId="1639259685">
    <w:abstractNumId w:val="79"/>
  </w:num>
  <w:num w:numId="6" w16cid:durableId="491525275">
    <w:abstractNumId w:val="81"/>
  </w:num>
  <w:num w:numId="7" w16cid:durableId="1167556380">
    <w:abstractNumId w:val="43"/>
  </w:num>
  <w:num w:numId="8" w16cid:durableId="1080172445">
    <w:abstractNumId w:val="50"/>
  </w:num>
  <w:num w:numId="9" w16cid:durableId="9138360">
    <w:abstractNumId w:val="92"/>
  </w:num>
  <w:num w:numId="10" w16cid:durableId="446235810">
    <w:abstractNumId w:val="82"/>
  </w:num>
  <w:num w:numId="11" w16cid:durableId="333457085">
    <w:abstractNumId w:val="70"/>
  </w:num>
  <w:num w:numId="12" w16cid:durableId="1732002058">
    <w:abstractNumId w:val="35"/>
  </w:num>
  <w:num w:numId="13" w16cid:durableId="1772312806">
    <w:abstractNumId w:val="76"/>
  </w:num>
  <w:num w:numId="14" w16cid:durableId="1949385529">
    <w:abstractNumId w:val="83"/>
  </w:num>
  <w:num w:numId="15" w16cid:durableId="715280386">
    <w:abstractNumId w:val="69"/>
  </w:num>
  <w:num w:numId="16" w16cid:durableId="65998805">
    <w:abstractNumId w:val="73"/>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5"/>
  </w:num>
  <w:num w:numId="24" w16cid:durableId="1597209144">
    <w:abstractNumId w:val="4"/>
  </w:num>
  <w:num w:numId="25" w16cid:durableId="1638951264">
    <w:abstractNumId w:val="0"/>
  </w:num>
  <w:num w:numId="26" w16cid:durableId="2065906242">
    <w:abstractNumId w:val="89"/>
  </w:num>
  <w:num w:numId="27" w16cid:durableId="757021178">
    <w:abstractNumId w:val="63"/>
  </w:num>
  <w:num w:numId="28" w16cid:durableId="1926499602">
    <w:abstractNumId w:val="22"/>
  </w:num>
  <w:num w:numId="29" w16cid:durableId="596446571">
    <w:abstractNumId w:val="26"/>
  </w:num>
  <w:num w:numId="30" w16cid:durableId="992295123">
    <w:abstractNumId w:val="96"/>
  </w:num>
  <w:num w:numId="31" w16cid:durableId="476802341">
    <w:abstractNumId w:val="30"/>
  </w:num>
  <w:num w:numId="32" w16cid:durableId="893471092">
    <w:abstractNumId w:val="86"/>
  </w:num>
  <w:num w:numId="33" w16cid:durableId="682783631">
    <w:abstractNumId w:val="46"/>
  </w:num>
  <w:num w:numId="34" w16cid:durableId="1621910652">
    <w:abstractNumId w:val="40"/>
  </w:num>
  <w:num w:numId="35" w16cid:durableId="37752285">
    <w:abstractNumId w:val="78"/>
  </w:num>
  <w:num w:numId="36" w16cid:durableId="804854216">
    <w:abstractNumId w:val="91"/>
  </w:num>
  <w:num w:numId="37" w16cid:durableId="579559484">
    <w:abstractNumId w:val="5"/>
  </w:num>
  <w:num w:numId="38" w16cid:durableId="943342017">
    <w:abstractNumId w:val="3"/>
  </w:num>
  <w:num w:numId="39" w16cid:durableId="253755401">
    <w:abstractNumId w:val="39"/>
  </w:num>
  <w:num w:numId="40" w16cid:durableId="1346638018">
    <w:abstractNumId w:val="97"/>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3"/>
  </w:num>
  <w:num w:numId="48" w16cid:durableId="1508638847">
    <w:abstractNumId w:val="74"/>
  </w:num>
  <w:num w:numId="49" w16cid:durableId="1166239979">
    <w:abstractNumId w:val="7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7"/>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4"/>
  </w:num>
  <w:num w:numId="93" w16cid:durableId="806164216">
    <w:abstractNumId w:val="6"/>
  </w:num>
  <w:num w:numId="94" w16cid:durableId="1800948721">
    <w:abstractNumId w:val="7"/>
  </w:num>
  <w:num w:numId="95" w16cid:durableId="7794950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 w:numId="99" w16cid:durableId="224492899">
    <w:abstractNumId w:val="6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1FFD"/>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0698"/>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394"/>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C5B5A"/>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10E"/>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692E"/>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121"/>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245"/>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37B9A"/>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B1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65D"/>
    <w:rsid w:val="00841C55"/>
    <w:rsid w:val="00843624"/>
    <w:rsid w:val="00843754"/>
    <w:rsid w:val="00843F7C"/>
    <w:rsid w:val="00845CCF"/>
    <w:rsid w:val="0084657A"/>
    <w:rsid w:val="008476F8"/>
    <w:rsid w:val="0084792B"/>
    <w:rsid w:val="00847FC2"/>
    <w:rsid w:val="00850DE4"/>
    <w:rsid w:val="00850E58"/>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71"/>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191"/>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331C"/>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20"/>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A9F"/>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6323"/>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5990"/>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4DCE"/>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38"/>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2801</Words>
  <Characters>15967</Characters>
  <Application>Microsoft Office Word</Application>
  <DocSecurity>0</DocSecurity>
  <Lines>133</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18731</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2022-06-08T07:57:00Z</dcterms:created>
  <dcterms:modified xsi:type="dcterms:W3CDTF">2023-05-12T07:21:00Z</dcterms:modified>
</cp:coreProperties>
</file>