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Default="00E359B1" w:rsidP="005B23FA">
      <w:r w:rsidRPr="00E359B1">
        <w:t xml:space="preserve">Diaľkovo ovládaná </w:t>
      </w:r>
      <w:proofErr w:type="spellStart"/>
      <w:r w:rsidRPr="00E359B1">
        <w:t>miniponorka</w:t>
      </w:r>
      <w:proofErr w:type="spellEnd"/>
      <w:r w:rsidRPr="00E359B1">
        <w:t xml:space="preserve"> s kamerou a príslušenstvom</w:t>
      </w:r>
      <w:bookmarkStart w:id="0" w:name="_GoBack"/>
      <w:bookmarkEnd w:id="0"/>
      <w:r w:rsidR="005B23FA" w:rsidRPr="00E2641A">
        <w:t>.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5B23FA"/>
    <w:rsid w:val="00693474"/>
    <w:rsid w:val="00E359B1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9037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Company>MVSR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3</cp:revision>
  <dcterms:created xsi:type="dcterms:W3CDTF">2023-03-31T08:50:00Z</dcterms:created>
  <dcterms:modified xsi:type="dcterms:W3CDTF">2023-05-29T09:25:00Z</dcterms:modified>
</cp:coreProperties>
</file>