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422E5F4E" w:rsidR="00422917" w:rsidRPr="00EA2663" w:rsidRDefault="00422917" w:rsidP="00422917">
      <w:pPr>
        <w:pStyle w:val="Normlnywebov"/>
        <w:spacing w:before="0" w:beforeAutospacing="0" w:after="0" w:afterAutospacing="0"/>
        <w:jc w:val="center"/>
        <w:rPr>
          <w:rFonts w:ascii="Arial" w:hAnsi="Arial" w:cs="Arial"/>
          <w:i/>
          <w:iCs/>
          <w:color w:val="000000"/>
          <w:sz w:val="20"/>
          <w:szCs w:val="20"/>
        </w:rPr>
      </w:pPr>
      <w:r w:rsidRPr="00EA2663">
        <w:rPr>
          <w:rFonts w:ascii="Arial" w:hAnsi="Arial" w:cs="Arial"/>
          <w:i/>
          <w:sz w:val="20"/>
          <w:szCs w:val="20"/>
        </w:rPr>
        <w:t xml:space="preserve">uzavretá podľa </w:t>
      </w:r>
      <w:r w:rsidRPr="00EA2663">
        <w:rPr>
          <w:rFonts w:ascii="Arial" w:hAnsi="Arial" w:cs="Arial"/>
          <w:i/>
          <w:iCs/>
          <w:color w:val="000000"/>
          <w:sz w:val="20"/>
          <w:szCs w:val="20"/>
        </w:rPr>
        <w:t>§ 3 zákona č. 116/1990 Zb. o nájme a podnájme nebytových priestorov v znení neskorších predpisov</w:t>
      </w:r>
      <w:r w:rsidRPr="00EA2663">
        <w:rPr>
          <w:rFonts w:ascii="Arial" w:hAnsi="Arial" w:cs="Arial"/>
          <w:i/>
          <w:sz w:val="20"/>
          <w:szCs w:val="20"/>
        </w:rPr>
        <w:t xml:space="preserve"> a </w:t>
      </w:r>
      <w:r w:rsidRPr="00EA2663">
        <w:rPr>
          <w:rFonts w:ascii="Arial" w:hAnsi="Arial" w:cs="Arial"/>
          <w:i/>
          <w:iCs/>
          <w:color w:val="000000"/>
          <w:sz w:val="20"/>
          <w:szCs w:val="20"/>
        </w:rPr>
        <w:t>§ 663 a </w:t>
      </w:r>
      <w:proofErr w:type="spellStart"/>
      <w:r w:rsidRPr="00EA2663">
        <w:rPr>
          <w:rFonts w:ascii="Arial" w:hAnsi="Arial" w:cs="Arial"/>
          <w:i/>
          <w:iCs/>
          <w:color w:val="000000"/>
          <w:sz w:val="20"/>
          <w:szCs w:val="20"/>
        </w:rPr>
        <w:t>nasl</w:t>
      </w:r>
      <w:proofErr w:type="spellEnd"/>
      <w:r w:rsidRPr="00EA2663">
        <w:rPr>
          <w:rFonts w:ascii="Arial" w:hAnsi="Arial" w:cs="Arial"/>
          <w:i/>
          <w:iCs/>
          <w:color w:val="000000"/>
          <w:sz w:val="20"/>
          <w:szCs w:val="20"/>
        </w:rPr>
        <w:t>. zákona č. 40/1964 Zb. Občiansky zákonník v znení neskorších</w:t>
      </w:r>
      <w:r w:rsidR="00EA2663">
        <w:rPr>
          <w:rFonts w:ascii="Arial" w:hAnsi="Arial" w:cs="Arial"/>
          <w:i/>
          <w:iCs/>
          <w:color w:val="000000"/>
          <w:sz w:val="20"/>
          <w:szCs w:val="20"/>
        </w:rPr>
        <w:t xml:space="preserve"> </w:t>
      </w:r>
      <w:r w:rsidRPr="00EA2663">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EA2663">
        <w:rPr>
          <w:rFonts w:ascii="Arial" w:hAnsi="Arial" w:cs="Arial"/>
          <w:i/>
          <w:iCs/>
          <w:color w:val="000000" w:themeColor="text1"/>
          <w:sz w:val="20"/>
          <w:szCs w:val="20"/>
        </w:rPr>
        <w:t>(ďalej len „</w:t>
      </w:r>
      <w:r w:rsidRPr="00EA2663">
        <w:rPr>
          <w:rFonts w:ascii="Arial" w:hAnsi="Arial" w:cs="Arial"/>
          <w:b/>
          <w:i/>
          <w:iCs/>
          <w:color w:val="000000" w:themeColor="text1"/>
          <w:sz w:val="20"/>
          <w:szCs w:val="20"/>
        </w:rPr>
        <w:t>Zmluva</w:t>
      </w:r>
      <w:r w:rsidRPr="00EA2663">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77777777"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Okresného súdu Bratislava 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77777777" w:rsidR="002F746F" w:rsidRDefault="002F746F" w:rsidP="002F746F">
            <w:pPr>
              <w:spacing w:line="240" w:lineRule="auto"/>
              <w:ind w:left="2880" w:firstLine="720"/>
              <w:jc w:val="both"/>
              <w:rPr>
                <w:color w:val="000000" w:themeColor="text1"/>
                <w:sz w:val="20"/>
                <w:szCs w:val="22"/>
              </w:rPr>
            </w:pPr>
            <w:r>
              <w:rPr>
                <w:color w:val="000000" w:themeColor="text1"/>
                <w:sz w:val="20"/>
              </w:rPr>
              <w:t>JUDr. PhDr. Martin Fakla, PhD.,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6C481EE9" w:rsidR="00E25626"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1D1B0EDA"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EA2663" w:rsidRPr="00EA2663">
        <w:rPr>
          <w:rFonts w:ascii="Arial" w:hAnsi="Arial" w:cs="Arial"/>
          <w:sz w:val="20"/>
          <w:szCs w:val="20"/>
        </w:rPr>
        <w:t>Prenajímateľ je podielovým vlastníkom stavby – 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F36A6D">
      <w:pPr>
        <w:tabs>
          <w:tab w:val="left" w:pos="2835"/>
        </w:tabs>
        <w:spacing w:line="240" w:lineRule="auto"/>
        <w:jc w:val="both"/>
        <w:rPr>
          <w:sz w:val="20"/>
          <w:highlight w:val="yellow"/>
        </w:rPr>
      </w:pPr>
    </w:p>
    <w:p w14:paraId="1A2632DD" w14:textId="6064586C" w:rsidR="00DA406B" w:rsidRDefault="00F36A6D" w:rsidP="00F36A6D">
      <w:pPr>
        <w:spacing w:line="240" w:lineRule="auto"/>
        <w:ind w:left="690" w:hanging="720"/>
        <w:jc w:val="both"/>
        <w:rPr>
          <w:color w:val="auto"/>
          <w:sz w:val="20"/>
        </w:rPr>
      </w:pPr>
      <w:r w:rsidRPr="005E77A9">
        <w:rPr>
          <w:b/>
          <w:color w:val="auto"/>
          <w:sz w:val="20"/>
        </w:rPr>
        <w:lastRenderedPageBreak/>
        <w:t>1.2</w:t>
      </w:r>
      <w:r w:rsidRPr="005E77A9">
        <w:rPr>
          <w:b/>
          <w:color w:val="auto"/>
          <w:sz w:val="20"/>
        </w:rPr>
        <w:tab/>
      </w:r>
      <w:r w:rsidR="00EA2663" w:rsidRPr="00EA2663">
        <w:rPr>
          <w:color w:val="auto"/>
          <w:sz w:val="20"/>
        </w:rPr>
        <w:t xml:space="preserve">Nájomca prejavil záujem o dočasné užívanie nebytového priestoru – kancelárie č. </w:t>
      </w:r>
      <w:r w:rsidR="004411D6">
        <w:rPr>
          <w:color w:val="auto"/>
          <w:sz w:val="20"/>
        </w:rPr>
        <w:t xml:space="preserve">419 a č. 420, spolu </w:t>
      </w:r>
      <w:r w:rsidR="00EA2663" w:rsidRPr="00EA2663">
        <w:rPr>
          <w:color w:val="auto"/>
          <w:sz w:val="20"/>
        </w:rPr>
        <w:t xml:space="preserve">o výmere </w:t>
      </w:r>
      <w:r w:rsidR="004411D6">
        <w:rPr>
          <w:color w:val="auto"/>
          <w:sz w:val="20"/>
        </w:rPr>
        <w:t>76</w:t>
      </w:r>
      <w:r w:rsidR="00EA2663" w:rsidRPr="00EA2663">
        <w:rPr>
          <w:color w:val="auto"/>
          <w:sz w:val="20"/>
        </w:rPr>
        <w:t xml:space="preserve"> m2, nachádzajúcich sa v Stavbe na </w:t>
      </w:r>
      <w:r w:rsidR="004411D6">
        <w:rPr>
          <w:color w:val="auto"/>
          <w:sz w:val="20"/>
        </w:rPr>
        <w:t>piatom</w:t>
      </w:r>
      <w:r w:rsidR="00EA2663" w:rsidRPr="00EA2663">
        <w:rPr>
          <w:color w:val="auto"/>
          <w:sz w:val="20"/>
        </w:rPr>
        <w:t xml:space="preserve"> nadzemnom podlaží (ďalej len „Predmet nájmu“), za podmienok uvedených v ďalších ustanoveniach tejto Zmluvy. Umiestnenie Predmetu nájmu je znázornené farebne v grafickom znázornení, ktoré tvorí Prílohu č. 1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2CC4974F"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Predmetom tejto Zmluvy je odplatné prenechanie Predmetu nájmu do dočasného užívania 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1CEFF0CF"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EA2663">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w:t>
      </w:r>
      <w:r w:rsidR="000169E5" w:rsidRPr="00EA2663">
        <w:rPr>
          <w:b/>
          <w:bCs/>
          <w:color w:val="auto"/>
          <w:sz w:val="20"/>
        </w:rPr>
        <w:t xml:space="preserve"> </w:t>
      </w:r>
      <w:r w:rsidRPr="00EA2663">
        <w:rPr>
          <w:sz w:val="20"/>
        </w:rPr>
        <w:t>Prenajímateľ</w:t>
      </w:r>
      <w:r w:rsidRPr="005E77A9">
        <w:rPr>
          <w:sz w:val="20"/>
        </w:rPr>
        <w:t xml:space="preserve">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w:t>
      </w:r>
      <w:r w:rsidR="00F839EB" w:rsidRPr="00EA2663">
        <w:rPr>
          <w:sz w:val="20"/>
        </w:rPr>
        <w:t>bod 1</w:t>
      </w:r>
      <w:r w:rsidR="005E2809" w:rsidRPr="00EA2663">
        <w:rPr>
          <w:sz w:val="20"/>
        </w:rPr>
        <w:t>3</w:t>
      </w:r>
      <w:r w:rsidR="00F839EB" w:rsidRPr="00EA2663">
        <w:rPr>
          <w:sz w:val="20"/>
        </w:rPr>
        <w:t>.</w:t>
      </w:r>
      <w:r w:rsidR="005E01DC" w:rsidRPr="00EA2663">
        <w:rPr>
          <w:sz w:val="20"/>
        </w:rPr>
        <w:t>5</w:t>
      </w:r>
      <w:r w:rsidR="00E00C86" w:rsidRPr="00EA266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lastRenderedPageBreak/>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11D57338" w:rsidR="00054C65" w:rsidRPr="00F254C4" w:rsidRDefault="00F254C4" w:rsidP="00F254C4">
      <w:pPr>
        <w:tabs>
          <w:tab w:val="left" w:pos="567"/>
          <w:tab w:val="left" w:pos="709"/>
        </w:tabs>
        <w:spacing w:after="120"/>
        <w:jc w:val="both"/>
        <w:rPr>
          <w:color w:val="000000" w:themeColor="text1"/>
          <w:sz w:val="20"/>
        </w:rPr>
      </w:pPr>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 xml:space="preserve">primeranú lehotu na vypratanie Predmetu nájmu. Odstúpenie od tejto Zmluvy sa nedotýka nárokov </w:t>
      </w:r>
      <w:r>
        <w:rPr>
          <w:color w:val="000000" w:themeColor="text1"/>
          <w:sz w:val="20"/>
        </w:rPr>
        <w:t xml:space="preserve">        </w:t>
      </w:r>
      <w:r>
        <w:rPr>
          <w:color w:val="000000" w:themeColor="text1"/>
          <w:sz w:val="20"/>
        </w:rPr>
        <w:br/>
        <w:t xml:space="preserve">            </w:t>
      </w:r>
      <w:r w:rsidRPr="00B73FE5">
        <w:rPr>
          <w:color w:val="000000" w:themeColor="text1"/>
          <w:sz w:val="20"/>
        </w:rPr>
        <w:t>na náhradu škody, ani nárokov na zaplatenie zmluvnej pokuty.</w:t>
      </w:r>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lastRenderedPageBreak/>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EA2663">
        <w:rPr>
          <w:b/>
          <w:color w:val="000000" w:themeColor="text1"/>
          <w:sz w:val="20"/>
        </w:rPr>
        <w:t>4.1</w:t>
      </w:r>
      <w:r w:rsidR="00E25626" w:rsidRPr="00EA2663">
        <w:rPr>
          <w:b/>
          <w:color w:val="000000" w:themeColor="text1"/>
          <w:sz w:val="20"/>
        </w:rPr>
        <w:t>0</w:t>
      </w:r>
      <w:r w:rsidRPr="00EA2663">
        <w:rPr>
          <w:b/>
          <w:color w:val="000000" w:themeColor="text1"/>
          <w:sz w:val="20"/>
        </w:rPr>
        <w:tab/>
      </w:r>
      <w:r w:rsidRPr="00EA2663">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54DD1DFC"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A2663">
        <w:rPr>
          <w:rFonts w:eastAsia="Times New Roman"/>
          <w:b/>
          <w:bCs/>
          <w:sz w:val="20"/>
        </w:rPr>
        <w:t>mesiac</w:t>
      </w:r>
      <w:r w:rsidRPr="00520961">
        <w:rPr>
          <w:rFonts w:eastAsia="Times New Roman"/>
          <w:b/>
          <w:bCs/>
          <w:sz w:val="20"/>
        </w:rPr>
        <w:t xml:space="preserve"> x </w:t>
      </w:r>
      <w:r w:rsidR="004411D6">
        <w:rPr>
          <w:rFonts w:eastAsia="Times New Roman"/>
          <w:b/>
          <w:bCs/>
          <w:sz w:val="20"/>
        </w:rPr>
        <w:t xml:space="preserve">76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A2663">
        <w:rPr>
          <w:rFonts w:eastAsia="Times New Roman"/>
          <w:b/>
          <w:bCs/>
          <w:sz w:val="20"/>
        </w:rPr>
        <w:t>mesiac</w:t>
      </w:r>
      <w:r w:rsidRPr="005E77A9">
        <w:rPr>
          <w:rFonts w:eastAsia="Times New Roman"/>
          <w:b/>
          <w:bCs/>
          <w:sz w:val="20"/>
        </w:rPr>
        <w:t xml:space="preserve"> </w:t>
      </w:r>
      <w:r w:rsidRPr="00EA2663">
        <w:rPr>
          <w:rFonts w:eastAsia="Times New Roman"/>
          <w:b/>
          <w:bCs/>
          <w:sz w:val="20"/>
        </w:rPr>
        <w:t>+ DPH</w:t>
      </w:r>
      <w:r w:rsidRPr="00EA2663">
        <w:rPr>
          <w:rFonts w:eastAsia="Times New Roman"/>
          <w:b/>
          <w:color w:val="000000" w:themeColor="text1"/>
          <w:sz w:val="20"/>
        </w:rPr>
        <w:t xml:space="preserve"> </w:t>
      </w:r>
      <w:r w:rsidRPr="00EA2663">
        <w:rPr>
          <w:rFonts w:eastAsia="Times New Roman"/>
          <w:color w:val="000000" w:themeColor="text1"/>
          <w:sz w:val="20"/>
        </w:rPr>
        <w:t>(ďalej len „</w:t>
      </w:r>
      <w:r w:rsidRPr="00EA2663">
        <w:rPr>
          <w:rFonts w:eastAsia="Times New Roman"/>
          <w:b/>
          <w:bCs/>
          <w:color w:val="000000" w:themeColor="text1"/>
          <w:sz w:val="20"/>
        </w:rPr>
        <w:t>Nájomné</w:t>
      </w:r>
      <w:r w:rsidRPr="00EA2663">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49378AF1" w14:textId="77777777" w:rsidR="00EA2663" w:rsidRPr="00EA2663" w:rsidRDefault="00BD4D11" w:rsidP="00EA266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r w:rsidR="00EA2663" w:rsidRPr="00EA2663">
        <w:rPr>
          <w:sz w:val="20"/>
        </w:rPr>
        <w:t>Nájomné bude Nájomcom uhrádzané mesačne vopred za každý kalendárny mesiac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na faktúre. Deň splatnosti Nájomného je vždy pätnásty (15.) deň príslušného kalendárneho mesiaca, za ktorý sa Nájomné podľa tejto Zmluvy platí, a to aj v prípade omeškania Prenajímateľa s vystavením faktúry.</w:t>
      </w:r>
    </w:p>
    <w:p w14:paraId="72DA126B" w14:textId="77777777" w:rsidR="00EA2663" w:rsidRPr="00EA2663" w:rsidRDefault="00EA2663" w:rsidP="00EA2663">
      <w:pPr>
        <w:spacing w:line="240" w:lineRule="auto"/>
        <w:ind w:left="690" w:hanging="720"/>
        <w:jc w:val="both"/>
        <w:rPr>
          <w:sz w:val="20"/>
        </w:rPr>
      </w:pPr>
    </w:p>
    <w:p w14:paraId="664F0AC9" w14:textId="48CBCC04" w:rsidR="004B2C68" w:rsidRDefault="00EA2663" w:rsidP="00EA2663">
      <w:pPr>
        <w:spacing w:line="240" w:lineRule="auto"/>
        <w:ind w:left="690" w:hanging="720"/>
        <w:jc w:val="both"/>
        <w:rPr>
          <w:sz w:val="20"/>
        </w:rPr>
      </w:pPr>
      <w:r w:rsidRPr="00EA2663">
        <w:rPr>
          <w:sz w:val="20"/>
        </w:rPr>
        <w:tab/>
        <w:t>Nájomné za užívanie Predmetu nájmu za obdobie kratšie než kalendárny mesiac v zmysle tejto Zmluvy, bude Prenajímateľom vyčíslené a Nájomcom uhradené v alikvotnej výške vypočítanej nasledovne: ročné Nájomné podľa bodu 5.1 /365 x počet dní užívania Predmetu nájmu v príslušnom kalendárnom mesiaci + DPH. Alikvotnú časť Nájomného za prvý kalendárny mesiac trvania nájmu sa Nájomca zaväzuje uhradiť bezhotovostným prevodom na bankový účet Prenajímateľa uvedený na faktúre, pričom splatnosť Nájomného je pätnásť (15) pracovných dní odo dňa účinnosti tejto Zmluvy, a to aj v prípade omeškania Prenajímateľa s vystavením faktúry.</w:t>
      </w:r>
    </w:p>
    <w:p w14:paraId="4D5E8FAB" w14:textId="77777777" w:rsidR="00EA2663" w:rsidRPr="005E77A9" w:rsidRDefault="00EA2663" w:rsidP="00EA2663">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417909DA" w14:textId="77777777" w:rsidR="00D618BC" w:rsidRPr="00EA2663" w:rsidRDefault="00D618BC" w:rsidP="00D618BC">
      <w:pPr>
        <w:spacing w:line="240" w:lineRule="auto"/>
        <w:ind w:left="690" w:hanging="720"/>
        <w:jc w:val="both"/>
        <w:rPr>
          <w:rFonts w:eastAsia="Times New Roman"/>
          <w:sz w:val="20"/>
        </w:rPr>
      </w:pPr>
      <w:r w:rsidRPr="00EA2663">
        <w:rPr>
          <w:b/>
          <w:sz w:val="20"/>
        </w:rPr>
        <w:t>5.4</w:t>
      </w:r>
      <w:r w:rsidRPr="00EA2663">
        <w:rPr>
          <w:sz w:val="20"/>
        </w:rPr>
        <w:t xml:space="preserve">       </w:t>
      </w:r>
      <w:r w:rsidRPr="00EA2663">
        <w:rPr>
          <w:sz w:val="20"/>
        </w:rPr>
        <w:tab/>
      </w:r>
      <w:r w:rsidRPr="00EA2663">
        <w:rPr>
          <w:rFonts w:eastAsia="Times New Roman"/>
          <w:sz w:val="20"/>
        </w:rPr>
        <w:t xml:space="preserve">Nájomné zahŕňa vodné a stočné, Prenajímateľ je povinný zabezpečiť pre Nájomcu ich dodávky. </w:t>
      </w:r>
    </w:p>
    <w:p w14:paraId="5B7BD473" w14:textId="77777777" w:rsidR="00D618BC" w:rsidRPr="00EA2663" w:rsidRDefault="00D618BC" w:rsidP="00D618BC">
      <w:pPr>
        <w:spacing w:line="240" w:lineRule="auto"/>
        <w:ind w:left="690" w:hanging="720"/>
        <w:jc w:val="both"/>
        <w:rPr>
          <w:rFonts w:eastAsia="Times New Roman"/>
          <w:sz w:val="20"/>
        </w:rPr>
      </w:pPr>
    </w:p>
    <w:p w14:paraId="38921AF7" w14:textId="066C2C20" w:rsidR="00D618BC" w:rsidRPr="00EA2663" w:rsidRDefault="00D618BC" w:rsidP="00D618BC">
      <w:pPr>
        <w:spacing w:line="240" w:lineRule="auto"/>
        <w:ind w:left="690" w:hanging="720"/>
        <w:jc w:val="both"/>
        <w:rPr>
          <w:rFonts w:eastAsia="Times New Roman"/>
          <w:b/>
          <w:color w:val="000000" w:themeColor="text1"/>
          <w:sz w:val="20"/>
        </w:rPr>
      </w:pPr>
      <w:r w:rsidRPr="00EA2663">
        <w:rPr>
          <w:b/>
          <w:sz w:val="20"/>
        </w:rPr>
        <w:t>5.5</w:t>
      </w:r>
      <w:r w:rsidRPr="00EA2663">
        <w:rPr>
          <w:sz w:val="20"/>
        </w:rPr>
        <w:t xml:space="preserve">       </w:t>
      </w:r>
      <w:r w:rsidRPr="00EA2663">
        <w:rPr>
          <w:sz w:val="20"/>
        </w:rPr>
        <w:tab/>
      </w:r>
      <w:r w:rsidRPr="00EA2663">
        <w:rPr>
          <w:rFonts w:eastAsia="Times New Roman"/>
          <w:sz w:val="20"/>
        </w:rPr>
        <w:t>Nájomné nezahŕňa dodávku elektrickej energie a dodávku tepla (ďalej aj ako „</w:t>
      </w:r>
      <w:r w:rsidRPr="00EA2663">
        <w:rPr>
          <w:rFonts w:eastAsia="Times New Roman"/>
          <w:b/>
          <w:sz w:val="20"/>
        </w:rPr>
        <w:t>Prevádzkové náklady</w:t>
      </w:r>
      <w:r w:rsidRPr="00EA2663">
        <w:rPr>
          <w:rFonts w:eastAsia="Times New Roman"/>
          <w:sz w:val="20"/>
        </w:rPr>
        <w:t xml:space="preserve">“). Prevádzkové náklady za dodávku tepla a elektrickej energie Nájomca uhrádza Prenajímateľovi podľa plochy Predmetu nájmu vo výške </w:t>
      </w:r>
      <w:r w:rsidR="004411D6">
        <w:rPr>
          <w:rFonts w:eastAsia="Arial Unicode MS"/>
          <w:b/>
          <w:bCs/>
          <w:sz w:val="20"/>
        </w:rPr>
        <w:t>3</w:t>
      </w:r>
      <w:r w:rsidRPr="00EA2663">
        <w:rPr>
          <w:rFonts w:eastAsia="Arial Unicode MS"/>
          <w:b/>
          <w:bCs/>
          <w:sz w:val="20"/>
        </w:rPr>
        <w:t xml:space="preserve"> </w:t>
      </w:r>
      <w:r w:rsidRPr="00EA2663">
        <w:rPr>
          <w:rFonts w:eastAsia="Times New Roman"/>
          <w:b/>
          <w:bCs/>
          <w:sz w:val="20"/>
        </w:rPr>
        <w:t>EUR/m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w:t>
      </w:r>
      <w:r w:rsidRPr="00EA2663">
        <w:rPr>
          <w:rFonts w:eastAsia="Times New Roman"/>
          <w:color w:val="000000" w:themeColor="text1"/>
          <w:sz w:val="20"/>
        </w:rPr>
        <w:t>. Na základe tohto bodu budú Prevádzkové náklady vyčíslené nasledovne:</w:t>
      </w:r>
    </w:p>
    <w:p w14:paraId="582151BE" w14:textId="77777777" w:rsidR="00D618BC" w:rsidRPr="00EA2663" w:rsidRDefault="00D618BC" w:rsidP="00D618BC">
      <w:pPr>
        <w:spacing w:line="240" w:lineRule="auto"/>
        <w:ind w:left="690" w:hanging="720"/>
        <w:jc w:val="both"/>
        <w:rPr>
          <w:rFonts w:eastAsia="Times New Roman"/>
          <w:sz w:val="20"/>
        </w:rPr>
      </w:pPr>
      <w:r w:rsidRPr="00EA2663">
        <w:rPr>
          <w:rFonts w:eastAsia="Times New Roman"/>
          <w:sz w:val="20"/>
        </w:rPr>
        <w:t xml:space="preserve">                </w:t>
      </w:r>
    </w:p>
    <w:p w14:paraId="1149C1F7" w14:textId="33B6F00E" w:rsidR="00D618BC" w:rsidRPr="00EA2663" w:rsidRDefault="00EA2663" w:rsidP="00D618BC">
      <w:pPr>
        <w:spacing w:line="240" w:lineRule="auto"/>
        <w:ind w:left="690" w:firstLine="19"/>
        <w:jc w:val="both"/>
        <w:rPr>
          <w:rFonts w:eastAsia="Times New Roman"/>
          <w:b/>
          <w:bCs/>
          <w:sz w:val="20"/>
        </w:rPr>
      </w:pPr>
      <w:r w:rsidRPr="00EA2663">
        <w:rPr>
          <w:rFonts w:eastAsia="Arial Unicode MS"/>
          <w:sz w:val="20"/>
        </w:rPr>
        <w:t xml:space="preserve">3 </w:t>
      </w:r>
      <w:r w:rsidRPr="00EA2663">
        <w:rPr>
          <w:rFonts w:eastAsia="Times New Roman"/>
          <w:b/>
          <w:bCs/>
          <w:sz w:val="20"/>
        </w:rPr>
        <w:t>EURÁ/m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mesiac +</w:t>
      </w:r>
      <w:r w:rsidRPr="00EA2663">
        <w:rPr>
          <w:rFonts w:eastAsia="Times New Roman"/>
          <w:b/>
          <w:bCs/>
          <w:sz w:val="20"/>
        </w:rPr>
        <w:t xml:space="preserve"> DPH x </w:t>
      </w:r>
      <w:r w:rsidR="004411D6">
        <w:rPr>
          <w:rFonts w:eastAsia="Times New Roman"/>
          <w:b/>
          <w:bCs/>
          <w:sz w:val="20"/>
        </w:rPr>
        <w:t>76</w:t>
      </w:r>
      <w:r w:rsidRPr="00EA2663">
        <w:rPr>
          <w:rFonts w:eastAsia="Arial Unicode MS"/>
          <w:sz w:val="20"/>
        </w:rPr>
        <w:t xml:space="preserve"> </w:t>
      </w:r>
      <w:r w:rsidRPr="00EA2663">
        <w:rPr>
          <w:rFonts w:eastAsia="Times New Roman"/>
          <w:b/>
          <w:bCs/>
          <w:sz w:val="20"/>
        </w:rPr>
        <w:t>m</w:t>
      </w:r>
      <w:r w:rsidRPr="00EA2663">
        <w:rPr>
          <w:rFonts w:eastAsia="Times New Roman"/>
          <w:b/>
          <w:bCs/>
          <w:sz w:val="20"/>
          <w:vertAlign w:val="superscript"/>
        </w:rPr>
        <w:t xml:space="preserve">2 </w:t>
      </w:r>
      <w:r w:rsidRPr="00EA2663">
        <w:rPr>
          <w:rFonts w:eastAsia="Times New Roman"/>
          <w:sz w:val="20"/>
        </w:rPr>
        <w:t xml:space="preserve">= </w:t>
      </w:r>
      <w:r w:rsidR="004411D6">
        <w:rPr>
          <w:rFonts w:eastAsia="Times New Roman"/>
          <w:b/>
          <w:bCs/>
          <w:sz w:val="20"/>
        </w:rPr>
        <w:t>228</w:t>
      </w:r>
      <w:r w:rsidRPr="00EA2663">
        <w:rPr>
          <w:rFonts w:eastAsia="Arial Unicode MS"/>
          <w:sz w:val="20"/>
        </w:rPr>
        <w:t xml:space="preserve"> </w:t>
      </w:r>
      <w:bookmarkStart w:id="0" w:name="_Hlk127489426"/>
      <w:r w:rsidRPr="00EA2663">
        <w:rPr>
          <w:rFonts w:eastAsia="Times New Roman"/>
          <w:b/>
          <w:bCs/>
          <w:sz w:val="20"/>
        </w:rPr>
        <w:t>EUR/m</w:t>
      </w:r>
      <w:r w:rsidRPr="00EA2663">
        <w:rPr>
          <w:rFonts w:eastAsia="Times New Roman"/>
          <w:b/>
          <w:bCs/>
          <w:sz w:val="20"/>
          <w:vertAlign w:val="superscript"/>
        </w:rPr>
        <w:t>2</w:t>
      </w:r>
      <w:r w:rsidRPr="00EA2663">
        <w:rPr>
          <w:rFonts w:eastAsia="Times New Roman"/>
          <w:b/>
          <w:bCs/>
          <w:sz w:val="20"/>
        </w:rPr>
        <w:t>/</w:t>
      </w:r>
      <w:r w:rsidRPr="00EA2663">
        <w:rPr>
          <w:rFonts w:eastAsia="Arial Unicode MS"/>
          <w:b/>
          <w:bCs/>
          <w:sz w:val="20"/>
        </w:rPr>
        <w:t xml:space="preserve">mesiac </w:t>
      </w:r>
      <w:bookmarkStart w:id="1" w:name="_Hlk127489443"/>
      <w:bookmarkEnd w:id="0"/>
      <w:r w:rsidRPr="00EA2663">
        <w:rPr>
          <w:rFonts w:eastAsia="Arial Unicode MS"/>
          <w:b/>
          <w:bCs/>
          <w:sz w:val="20"/>
        </w:rPr>
        <w:t>+</w:t>
      </w:r>
      <w:r w:rsidRPr="00EA2663">
        <w:rPr>
          <w:rFonts w:eastAsia="Times New Roman"/>
          <w:b/>
          <w:bCs/>
          <w:sz w:val="20"/>
        </w:rPr>
        <w:t xml:space="preserve"> DPH</w:t>
      </w:r>
      <w:bookmarkEnd w:id="1"/>
      <w:r w:rsidRPr="00EA2663">
        <w:rPr>
          <w:rFonts w:eastAsia="Times New Roman"/>
          <w:b/>
          <w:bCs/>
          <w:sz w:val="20"/>
        </w:rPr>
        <w:t>.</w:t>
      </w:r>
    </w:p>
    <w:p w14:paraId="55A2CF56" w14:textId="77777777" w:rsidR="00D618BC" w:rsidRPr="00EA2663" w:rsidRDefault="00D618BC" w:rsidP="00D618BC">
      <w:pPr>
        <w:spacing w:line="240" w:lineRule="auto"/>
        <w:ind w:left="690" w:firstLine="19"/>
        <w:jc w:val="both"/>
        <w:rPr>
          <w:rFonts w:eastAsia="Times New Roman"/>
          <w:sz w:val="20"/>
        </w:rPr>
      </w:pPr>
    </w:p>
    <w:p w14:paraId="61F8EF5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5.6</w:t>
      </w:r>
      <w:r w:rsidRPr="00EA2663">
        <w:rPr>
          <w:rFonts w:eastAsia="Times New Roman"/>
          <w:sz w:val="20"/>
        </w:rPr>
        <w:t xml:space="preserve">       Zmluvné strany sa dohodli, že Prevádzkové náklady bude Nájomca uhrádzať spolu s Nájomným na základe faktúry vystavenej Prenajímateľom podľa bodu 5.2 tohto článku tejto Zmluvy.</w:t>
      </w:r>
    </w:p>
    <w:p w14:paraId="26026899" w14:textId="77777777" w:rsidR="00D618BC" w:rsidRPr="00EA2663" w:rsidRDefault="00D618BC" w:rsidP="00D618BC">
      <w:pPr>
        <w:spacing w:line="240" w:lineRule="auto"/>
        <w:ind w:left="709" w:hanging="690"/>
        <w:jc w:val="both"/>
        <w:rPr>
          <w:rFonts w:eastAsia="Times New Roman"/>
          <w:sz w:val="20"/>
        </w:rPr>
      </w:pPr>
    </w:p>
    <w:p w14:paraId="45736B75"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t>5.7</w:t>
      </w:r>
      <w:r w:rsidRPr="00EA2663">
        <w:rPr>
          <w:rFonts w:eastAsia="Times New Roman"/>
          <w:sz w:val="20"/>
        </w:rPr>
        <w:t xml:space="preserve">       V prípade, ak Prenajímateľ počas trvania nájmu na základe skutočných Prevádzkových nákladov zistí, že rozdiel medzi skutočnými nákladmi Nájomcu a výškou Prevádzkových nákladov dohodnutou v bode 5.5 tohto článku je rovný alebo viac ako 5% alebo v prípade ak v priebehu kalendárneho roka dodávatelia Prenajímateľa zmenia ceny dodávok služieb, ktoré predstavujú platby za Prevádzkové náklady o 5% a viac % vystaví Prenajímateľ vyúčtovaciu faktúru najneskôr v druhom mesiaci kalendárneho roka nasledujúcom po kalendárnom roku za ktorý bol vyššie uvedený rozdiel zistený. Rozpis skutočných Prevádzkový nákladov bude tvoriť prílohu k vyúčtovacej faktúre Prenajímateľa za Prevádzkové náklady. </w:t>
      </w:r>
    </w:p>
    <w:p w14:paraId="77EE31FB" w14:textId="77777777" w:rsidR="00D618BC" w:rsidRPr="00EA2663" w:rsidRDefault="00D618BC" w:rsidP="00D618BC">
      <w:pPr>
        <w:spacing w:line="240" w:lineRule="auto"/>
        <w:ind w:left="709" w:hanging="690"/>
        <w:jc w:val="both"/>
        <w:rPr>
          <w:rFonts w:eastAsia="Times New Roman"/>
          <w:sz w:val="20"/>
        </w:rPr>
      </w:pPr>
    </w:p>
    <w:p w14:paraId="08005928" w14:textId="77777777" w:rsidR="00D618BC" w:rsidRPr="00EA2663" w:rsidRDefault="00D618BC" w:rsidP="00D618BC">
      <w:pPr>
        <w:spacing w:line="240" w:lineRule="auto"/>
        <w:ind w:left="709" w:hanging="690"/>
        <w:jc w:val="both"/>
        <w:rPr>
          <w:rFonts w:eastAsia="Times New Roman"/>
          <w:sz w:val="20"/>
        </w:rPr>
      </w:pPr>
      <w:r w:rsidRPr="00EA2663">
        <w:rPr>
          <w:rFonts w:eastAsia="Times New Roman"/>
          <w:b/>
          <w:bCs/>
          <w:sz w:val="20"/>
        </w:rPr>
        <w:lastRenderedPageBreak/>
        <w:t>5.8</w:t>
      </w:r>
      <w:r w:rsidRPr="00EA2663">
        <w:rPr>
          <w:rFonts w:eastAsia="Times New Roman"/>
          <w:sz w:val="20"/>
        </w:rPr>
        <w:t xml:space="preserve">       V prípade, ak Prenajímateľ počas trvania nájmu na základe skutočných Prevádzkových nákladov zistí rozdiel medzi skutočnými nákladmi Nájomcu a výškou Prevádzkových nákladov dohodnutou v bode 5.5 tohto článku menší ako 5% alebo v prípade ak v priebehu kalendárneho roka dodávatelia Prenajímateľa zmenia ceny dodávok služieb, ktoré predstavujú platby za Prevádzkové náklady o menej ako 5%, je Prenajímateľ oprávnený v súlade s touto zmenou jednostranne zmeniť výšku Prevádzkových nákladov dohodnutú v bode 5.5 tohto článku na nasledujúci kalendárny rok. Rozpis skutočných Prevádzkových nákladov bude pri zistení rozdielu v zmysle tohto bodu zaslaný Nájomcovi. </w:t>
      </w:r>
    </w:p>
    <w:p w14:paraId="793FBE41" w14:textId="77777777" w:rsidR="00DC09A4" w:rsidRPr="00EA2663" w:rsidRDefault="00DC09A4" w:rsidP="0001323F">
      <w:pPr>
        <w:spacing w:line="240" w:lineRule="auto"/>
        <w:jc w:val="both"/>
        <w:rPr>
          <w:sz w:val="20"/>
        </w:rPr>
      </w:pPr>
    </w:p>
    <w:p w14:paraId="3F52CA7A" w14:textId="2B7F3347" w:rsidR="00054C65" w:rsidRPr="00EA2663" w:rsidRDefault="00054C65" w:rsidP="00822D57">
      <w:pPr>
        <w:spacing w:line="240" w:lineRule="auto"/>
        <w:ind w:left="690" w:hanging="720"/>
        <w:jc w:val="both"/>
        <w:rPr>
          <w:sz w:val="20"/>
        </w:rPr>
      </w:pPr>
      <w:r w:rsidRPr="00EA2663">
        <w:rPr>
          <w:b/>
          <w:sz w:val="20"/>
        </w:rPr>
        <w:t>5.5</w:t>
      </w:r>
      <w:r w:rsidRPr="00EA2663">
        <w:rPr>
          <w:sz w:val="20"/>
        </w:rPr>
        <w:t xml:space="preserve">      </w:t>
      </w:r>
      <w:r w:rsidRPr="00EA2663">
        <w:rPr>
          <w:sz w:val="20"/>
        </w:rPr>
        <w:tab/>
      </w:r>
      <w:r w:rsidR="0082295C" w:rsidRPr="00EA2663">
        <w:rPr>
          <w:color w:val="000000" w:themeColor="text1"/>
          <w:sz w:val="20"/>
        </w:rPr>
        <w:t>Prenajímateľ je povinný každú faktúru doručiť Nájomcovi elektronicky prostredníctvom e-mailu</w:t>
      </w:r>
      <w:r w:rsidR="0082295C" w:rsidRPr="005E77A9">
        <w:rPr>
          <w:color w:val="000000" w:themeColor="text1"/>
          <w:sz w:val="20"/>
        </w:rPr>
        <w:t xml:space="preserve">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EA2663">
        <w:rPr>
          <w:sz w:val="20"/>
        </w:rPr>
        <w:t>K fakturovaným sumám podľa tejto Zmluvy sa pripočíta DPH podľa príslušných aktuálne platných všeobecne záväzných právnych predpisov Slovenskej republiky.</w:t>
      </w:r>
    </w:p>
    <w:p w14:paraId="0754C968" w14:textId="77777777" w:rsidR="0082295C" w:rsidRPr="00EA2663" w:rsidRDefault="0082295C" w:rsidP="00822D57">
      <w:pPr>
        <w:spacing w:line="240" w:lineRule="auto"/>
        <w:ind w:left="690" w:hanging="720"/>
        <w:jc w:val="both"/>
        <w:rPr>
          <w:sz w:val="20"/>
        </w:rPr>
      </w:pPr>
    </w:p>
    <w:p w14:paraId="1F4F2490" w14:textId="472ACA8F" w:rsidR="00054C65" w:rsidRPr="00EA2663" w:rsidRDefault="00054C65" w:rsidP="00822D57">
      <w:pPr>
        <w:spacing w:line="240" w:lineRule="auto"/>
        <w:ind w:left="690" w:hanging="720"/>
        <w:jc w:val="both"/>
        <w:rPr>
          <w:sz w:val="20"/>
        </w:rPr>
      </w:pPr>
      <w:r w:rsidRPr="00EA2663">
        <w:rPr>
          <w:b/>
          <w:sz w:val="20"/>
        </w:rPr>
        <w:t>5.6</w:t>
      </w:r>
      <w:r w:rsidRPr="00EA2663">
        <w:rPr>
          <w:sz w:val="20"/>
        </w:rPr>
        <w:t xml:space="preserve">     </w:t>
      </w:r>
      <w:r w:rsidRPr="00EA2663">
        <w:rPr>
          <w:sz w:val="20"/>
        </w:rPr>
        <w:tab/>
        <w:t xml:space="preserve">Zmluvné strany sa dohodli, že zaplatením, resp. úhradou akéhokoľvek peňažného plnenia sa pre účely </w:t>
      </w:r>
      <w:r w:rsidR="008702FA" w:rsidRPr="00EA2663">
        <w:rPr>
          <w:sz w:val="20"/>
        </w:rPr>
        <w:t xml:space="preserve">tejto </w:t>
      </w:r>
      <w:r w:rsidRPr="00EA2663">
        <w:rPr>
          <w:sz w:val="20"/>
        </w:rPr>
        <w:t>Zmluvy rozumie pripísanie dlžnej sumy v prospech bankového účtu oprávnenej Zmluvnej strany.</w:t>
      </w:r>
    </w:p>
    <w:p w14:paraId="4FA9A3F1" w14:textId="77777777" w:rsidR="001B26CB" w:rsidRPr="00EA2663" w:rsidRDefault="001B26CB" w:rsidP="00822D57">
      <w:pPr>
        <w:spacing w:line="240" w:lineRule="auto"/>
        <w:ind w:left="690" w:hanging="720"/>
        <w:jc w:val="both"/>
        <w:rPr>
          <w:sz w:val="20"/>
        </w:rPr>
      </w:pPr>
    </w:p>
    <w:p w14:paraId="5CBB8940" w14:textId="6CAF2C91" w:rsidR="00DC09A4" w:rsidRPr="005E77A9" w:rsidRDefault="00054C65" w:rsidP="00822D57">
      <w:pPr>
        <w:pStyle w:val="Normlny10"/>
        <w:spacing w:line="240" w:lineRule="auto"/>
        <w:ind w:left="692" w:hanging="720"/>
        <w:jc w:val="both"/>
        <w:outlineLvl w:val="2"/>
        <w:rPr>
          <w:sz w:val="20"/>
          <w:szCs w:val="20"/>
        </w:rPr>
      </w:pPr>
      <w:r w:rsidRPr="00EA2663">
        <w:rPr>
          <w:b/>
          <w:sz w:val="20"/>
          <w:szCs w:val="20"/>
        </w:rPr>
        <w:t>5.7</w:t>
      </w:r>
      <w:r w:rsidRPr="00EA2663">
        <w:rPr>
          <w:sz w:val="20"/>
          <w:szCs w:val="20"/>
        </w:rPr>
        <w:t xml:space="preserve">   </w:t>
      </w:r>
      <w:r w:rsidRPr="00EA2663">
        <w:rPr>
          <w:sz w:val="20"/>
          <w:szCs w:val="20"/>
        </w:rPr>
        <w:tab/>
      </w:r>
      <w:r w:rsidR="00DC09A4" w:rsidRPr="00EA2663">
        <w:rPr>
          <w:sz w:val="20"/>
          <w:szCs w:val="20"/>
        </w:rPr>
        <w:t>Zmluvné strany sa dohodli, že Nájomca spolu s</w:t>
      </w:r>
      <w:r w:rsidR="00A7078C" w:rsidRPr="00EA2663">
        <w:rPr>
          <w:sz w:val="20"/>
          <w:szCs w:val="20"/>
        </w:rPr>
        <w:t xml:space="preserve"> prvou </w:t>
      </w:r>
      <w:r w:rsidR="00DC09A4" w:rsidRPr="00EA2663">
        <w:rPr>
          <w:sz w:val="20"/>
          <w:szCs w:val="20"/>
        </w:rPr>
        <w:t xml:space="preserve">úhradou Nájomného uhradí Prenajímateľovi kauciu vo výške </w:t>
      </w:r>
      <w:r w:rsidR="00EA2663" w:rsidRPr="00EA2663">
        <w:rPr>
          <w:rFonts w:eastAsia="Arial Unicode MS"/>
          <w:sz w:val="20"/>
          <w:szCs w:val="20"/>
        </w:rPr>
        <w:t xml:space="preserve">trojmesačného </w:t>
      </w:r>
      <w:r w:rsidR="00DC09A4" w:rsidRPr="005E77A9">
        <w:rPr>
          <w:sz w:val="20"/>
          <w:szCs w:val="20"/>
        </w:rPr>
        <w:t xml:space="preserve">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EA2663" w:rsidRDefault="00DC09A4" w:rsidP="00B60DB0">
      <w:pPr>
        <w:pStyle w:val="Normlny10"/>
        <w:spacing w:line="240" w:lineRule="auto"/>
        <w:ind w:left="692" w:hanging="692"/>
        <w:jc w:val="both"/>
        <w:outlineLvl w:val="2"/>
        <w:rPr>
          <w:sz w:val="20"/>
          <w:szCs w:val="20"/>
        </w:rPr>
      </w:pPr>
      <w:r w:rsidRPr="00EA2663">
        <w:rPr>
          <w:b/>
          <w:bCs/>
          <w:sz w:val="20"/>
          <w:szCs w:val="20"/>
        </w:rPr>
        <w:t>5.8</w:t>
      </w:r>
      <w:r w:rsidRPr="00EA2663">
        <w:rPr>
          <w:b/>
          <w:bCs/>
          <w:sz w:val="20"/>
          <w:szCs w:val="20"/>
        </w:rPr>
        <w:tab/>
      </w:r>
      <w:r w:rsidR="00A034EE" w:rsidRPr="00EA2663">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EA2663">
        <w:rPr>
          <w:sz w:val="20"/>
          <w:szCs w:val="20"/>
        </w:rPr>
        <w:t>.</w:t>
      </w:r>
    </w:p>
    <w:p w14:paraId="547898B3" w14:textId="77777777" w:rsidR="00822D57" w:rsidRPr="00EA2663" w:rsidRDefault="00822D57" w:rsidP="00822D57">
      <w:pPr>
        <w:pStyle w:val="Normlny10"/>
        <w:spacing w:line="240" w:lineRule="auto"/>
        <w:ind w:left="692" w:hanging="720"/>
        <w:jc w:val="both"/>
        <w:outlineLvl w:val="2"/>
        <w:rPr>
          <w:sz w:val="20"/>
          <w:szCs w:val="20"/>
        </w:rPr>
      </w:pPr>
    </w:p>
    <w:p w14:paraId="5E26D5D9" w14:textId="2653E6CC" w:rsidR="005B6F96" w:rsidRPr="00EA2663" w:rsidRDefault="00DC09A4" w:rsidP="00D566F9">
      <w:pPr>
        <w:pStyle w:val="Normlny10"/>
        <w:spacing w:line="240" w:lineRule="auto"/>
        <w:ind w:left="692" w:hanging="692"/>
        <w:jc w:val="both"/>
        <w:outlineLvl w:val="2"/>
        <w:rPr>
          <w:sz w:val="20"/>
          <w:szCs w:val="20"/>
        </w:rPr>
      </w:pPr>
      <w:bookmarkStart w:id="2" w:name="_Ref512354487"/>
      <w:r w:rsidRPr="00EA2663">
        <w:rPr>
          <w:b/>
          <w:bCs/>
          <w:sz w:val="20"/>
          <w:szCs w:val="20"/>
        </w:rPr>
        <w:t>5.9</w:t>
      </w:r>
      <w:r w:rsidRPr="00EA2663">
        <w:rPr>
          <w:b/>
          <w:bCs/>
          <w:sz w:val="20"/>
          <w:szCs w:val="20"/>
        </w:rPr>
        <w:tab/>
      </w:r>
      <w:r w:rsidR="005B6F96" w:rsidRPr="00EA2663">
        <w:rPr>
          <w:sz w:val="20"/>
          <w:szCs w:val="20"/>
        </w:rPr>
        <w:t xml:space="preserve">Prenajímateľ je oprávnený každoročne počas trvania tejto Zmluvy zabezpečiť vypracovanie znaleckého posudku na stanovenie všeobecnej hodnoty Nájomného za Predmet nájmu znalcom </w:t>
      </w:r>
      <w:r w:rsidR="005B6F96" w:rsidRPr="00EA2663">
        <w:rPr>
          <w:sz w:val="20"/>
          <w:szCs w:val="20"/>
        </w:rPr>
        <w:br/>
        <w:t xml:space="preserve">alebo znaleckou organizáciou určenou Prenajímateľom. Zmluvné strany sa dohodli, že v prípade </w:t>
      </w:r>
      <w:r w:rsidR="005B6F96" w:rsidRPr="00EA2663">
        <w:rPr>
          <w:sz w:val="20"/>
          <w:szCs w:val="20"/>
        </w:rPr>
        <w:br/>
        <w:t xml:space="preserve">ak všeobecná hodnota Nájmu za Predmet nájmu určená znaleckým posudkom bude vyššia </w:t>
      </w:r>
      <w:r w:rsidR="005B6F96" w:rsidRPr="00EA2663">
        <w:rPr>
          <w:sz w:val="20"/>
          <w:szCs w:val="20"/>
        </w:rPr>
        <w:br/>
        <w:t xml:space="preserve">než Nájomné platené za príslušný kalendárny rok zvýšené podľa bodu </w:t>
      </w:r>
      <w:r w:rsidRPr="00EA2663">
        <w:rPr>
          <w:sz w:val="20"/>
          <w:szCs w:val="20"/>
        </w:rPr>
        <w:t>5.8</w:t>
      </w:r>
      <w:r w:rsidR="005B6F96" w:rsidRPr="00EA2663">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A2663">
        <w:rPr>
          <w:sz w:val="20"/>
          <w:szCs w:val="20"/>
        </w:rPr>
        <w:t>5.10</w:t>
      </w:r>
      <w:r w:rsidR="005B6F96" w:rsidRPr="00EA2663">
        <w:rPr>
          <w:sz w:val="20"/>
          <w:szCs w:val="20"/>
        </w:rPr>
        <w:t xml:space="preserve"> a v prípade, ak Nájomca neuplatnil svoje právo vypovedať túto Zmluvu podľa bodu </w:t>
      </w:r>
      <w:r w:rsidRPr="00EA2663">
        <w:rPr>
          <w:sz w:val="20"/>
          <w:szCs w:val="20"/>
        </w:rPr>
        <w:t>5.10</w:t>
      </w:r>
      <w:bookmarkEnd w:id="2"/>
      <w:r w:rsidR="00E00C86" w:rsidRPr="00EA2663">
        <w:rPr>
          <w:sz w:val="20"/>
          <w:szCs w:val="20"/>
        </w:rPr>
        <w:t>.</w:t>
      </w:r>
    </w:p>
    <w:p w14:paraId="1E157530" w14:textId="77777777" w:rsidR="00822D57" w:rsidRPr="00EA2663" w:rsidRDefault="00822D57" w:rsidP="00822D57">
      <w:pPr>
        <w:pStyle w:val="Normlny10"/>
        <w:spacing w:line="240" w:lineRule="auto"/>
        <w:ind w:left="692"/>
        <w:jc w:val="both"/>
        <w:outlineLvl w:val="2"/>
        <w:rPr>
          <w:sz w:val="20"/>
          <w:szCs w:val="20"/>
        </w:rPr>
      </w:pPr>
    </w:p>
    <w:p w14:paraId="12E6D5DA" w14:textId="6A6C937C" w:rsidR="005B6F96" w:rsidRPr="00EA2663" w:rsidRDefault="00DC09A4" w:rsidP="00851D16">
      <w:pPr>
        <w:pStyle w:val="Normlny10"/>
        <w:spacing w:line="240" w:lineRule="auto"/>
        <w:ind w:left="692" w:hanging="692"/>
        <w:jc w:val="both"/>
        <w:outlineLvl w:val="2"/>
        <w:rPr>
          <w:sz w:val="20"/>
          <w:szCs w:val="20"/>
        </w:rPr>
      </w:pPr>
      <w:bookmarkStart w:id="3" w:name="_Ref512354267"/>
      <w:r w:rsidRPr="00EA2663">
        <w:rPr>
          <w:b/>
          <w:bCs/>
          <w:sz w:val="20"/>
          <w:szCs w:val="20"/>
        </w:rPr>
        <w:t>5.10</w:t>
      </w:r>
      <w:r w:rsidRPr="00EA2663">
        <w:rPr>
          <w:b/>
          <w:bCs/>
          <w:sz w:val="20"/>
          <w:szCs w:val="20"/>
        </w:rPr>
        <w:tab/>
      </w:r>
      <w:r w:rsidR="005B6F96" w:rsidRPr="00EA2663">
        <w:rPr>
          <w:sz w:val="20"/>
          <w:szCs w:val="20"/>
        </w:rPr>
        <w:t xml:space="preserve">O úprave Nájomného podľa bodu </w:t>
      </w:r>
      <w:r w:rsidR="00326CE5" w:rsidRPr="00EA2663">
        <w:rPr>
          <w:sz w:val="20"/>
          <w:szCs w:val="20"/>
        </w:rPr>
        <w:t>5.9</w:t>
      </w:r>
      <w:r w:rsidR="005B6F96" w:rsidRPr="00EA266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w:t>
      </w:r>
      <w:r w:rsidR="005B6F96" w:rsidRPr="00EA2663">
        <w:rPr>
          <w:sz w:val="20"/>
          <w:szCs w:val="20"/>
        </w:rPr>
        <w:lastRenderedPageBreak/>
        <w:t xml:space="preserve">Nájomcovi Nájomné vo výške stanovenej pred upovedomením Nájomcu o úprave Nájomného podľa bodu </w:t>
      </w:r>
      <w:r w:rsidR="00326CE5" w:rsidRPr="00EA2663">
        <w:rPr>
          <w:sz w:val="20"/>
          <w:szCs w:val="20"/>
        </w:rPr>
        <w:t>5.9</w:t>
      </w:r>
      <w:r w:rsidR="005B6F96" w:rsidRPr="00EA2663">
        <w:rPr>
          <w:sz w:val="20"/>
          <w:szCs w:val="20"/>
        </w:rPr>
        <w:t xml:space="preserve">, prípadne zvýšeného podľa bodu </w:t>
      </w:r>
      <w:r w:rsidR="00326CE5" w:rsidRPr="00EA2663">
        <w:rPr>
          <w:sz w:val="20"/>
          <w:szCs w:val="20"/>
        </w:rPr>
        <w:t>5.8</w:t>
      </w:r>
      <w:bookmarkEnd w:id="3"/>
      <w:r w:rsidR="00E00C86" w:rsidRPr="00EA2663">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EA2663">
        <w:rPr>
          <w:b/>
          <w:bCs/>
          <w:sz w:val="20"/>
          <w:szCs w:val="20"/>
        </w:rPr>
        <w:t>5.11</w:t>
      </w:r>
      <w:r w:rsidRPr="00EA2663">
        <w:rPr>
          <w:sz w:val="20"/>
          <w:szCs w:val="20"/>
        </w:rPr>
        <w:t xml:space="preserve"> </w:t>
      </w:r>
      <w:r w:rsidRPr="00EA2663">
        <w:rPr>
          <w:sz w:val="20"/>
          <w:szCs w:val="20"/>
        </w:rPr>
        <w:tab/>
      </w:r>
      <w:r w:rsidR="00F4724C" w:rsidRPr="00EA2663">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w:t>
      </w:r>
      <w:r w:rsidR="00F4724C">
        <w:rPr>
          <w:color w:val="auto"/>
          <w:sz w:val="20"/>
        </w:rPr>
        <w:t>.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0752D6AA" w14:textId="77777777" w:rsidR="00515FD7" w:rsidRDefault="00515FD7" w:rsidP="004A49E0">
      <w:pPr>
        <w:spacing w:line="240" w:lineRule="auto"/>
        <w:ind w:left="690" w:hanging="720"/>
        <w:jc w:val="both"/>
        <w:rPr>
          <w:b/>
          <w:color w:val="000000" w:themeColor="text1"/>
          <w:sz w:val="20"/>
        </w:rPr>
      </w:pPr>
    </w:p>
    <w:p w14:paraId="6AAF204D" w14:textId="018C883A"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4A49E0" w:rsidRPr="005E77A9" w14:paraId="13F8C1CF" w14:textId="77777777" w:rsidTr="00F05409">
        <w:tc>
          <w:tcPr>
            <w:tcW w:w="1620"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4845" w:type="dxa"/>
            <w:tcMar>
              <w:top w:w="100" w:type="dxa"/>
              <w:left w:w="100" w:type="dxa"/>
              <w:bottom w:w="100" w:type="dxa"/>
              <w:right w:w="100" w:type="dxa"/>
            </w:tcMar>
          </w:tcPr>
          <w:p w14:paraId="34F53A95" w14:textId="77777777" w:rsidR="004A49E0" w:rsidRPr="005E77A9" w:rsidRDefault="004A49E0" w:rsidP="00E00C86">
            <w:pPr>
              <w:spacing w:after="120" w:line="240" w:lineRule="auto"/>
              <w:ind w:left="100" w:right="240"/>
              <w:rPr>
                <w:sz w:val="20"/>
              </w:rPr>
            </w:pPr>
            <w:r w:rsidRPr="005E77A9">
              <w:rPr>
                <w:b/>
                <w:sz w:val="20"/>
              </w:rPr>
              <w:t>Špecifikácia porušenia zmluvných záväzkov zo strany Nájomcu</w:t>
            </w:r>
          </w:p>
        </w:tc>
        <w:tc>
          <w:tcPr>
            <w:tcW w:w="2070" w:type="dxa"/>
            <w:tcMar>
              <w:top w:w="100" w:type="dxa"/>
              <w:left w:w="100" w:type="dxa"/>
              <w:bottom w:w="100" w:type="dxa"/>
              <w:right w:w="100" w:type="dxa"/>
            </w:tcMar>
          </w:tcPr>
          <w:p w14:paraId="3ED53255" w14:textId="77777777" w:rsidR="004A49E0" w:rsidRPr="005E77A9" w:rsidRDefault="004A49E0" w:rsidP="00E00C86">
            <w:pPr>
              <w:spacing w:after="120" w:line="240" w:lineRule="auto"/>
              <w:ind w:left="100" w:right="240"/>
              <w:rPr>
                <w:sz w:val="20"/>
              </w:rPr>
            </w:pPr>
            <w:r w:rsidRPr="005E77A9">
              <w:rPr>
                <w:b/>
                <w:sz w:val="20"/>
              </w:rPr>
              <w:t>výška zmluvnej pokuty</w:t>
            </w:r>
          </w:p>
        </w:tc>
      </w:tr>
      <w:tr w:rsidR="004A49E0" w:rsidRPr="005E77A9" w14:paraId="5569B7AA" w14:textId="77777777" w:rsidTr="00F05409">
        <w:tc>
          <w:tcPr>
            <w:tcW w:w="1620" w:type="dxa"/>
            <w:tcMar>
              <w:top w:w="100" w:type="dxa"/>
              <w:left w:w="100" w:type="dxa"/>
              <w:bottom w:w="100" w:type="dxa"/>
              <w:right w:w="100" w:type="dxa"/>
            </w:tcMar>
          </w:tcPr>
          <w:p w14:paraId="492FD29A" w14:textId="77777777" w:rsidR="004A49E0" w:rsidRPr="005E77A9" w:rsidRDefault="004A49E0" w:rsidP="00F05409">
            <w:pPr>
              <w:spacing w:after="120" w:line="240" w:lineRule="auto"/>
              <w:ind w:left="820" w:right="240" w:hanging="360"/>
              <w:rPr>
                <w:sz w:val="20"/>
              </w:rPr>
            </w:pPr>
            <w:r w:rsidRPr="005E77A9">
              <w:rPr>
                <w:sz w:val="20"/>
              </w:rPr>
              <w:t xml:space="preserve">1.      </w:t>
            </w:r>
          </w:p>
        </w:tc>
        <w:tc>
          <w:tcPr>
            <w:tcW w:w="4845"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070"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F05409">
        <w:tc>
          <w:tcPr>
            <w:tcW w:w="1620" w:type="dxa"/>
            <w:tcMar>
              <w:top w:w="100" w:type="dxa"/>
              <w:left w:w="100" w:type="dxa"/>
              <w:bottom w:w="100" w:type="dxa"/>
              <w:right w:w="100" w:type="dxa"/>
            </w:tcMar>
          </w:tcPr>
          <w:p w14:paraId="53B7DDCE" w14:textId="77777777" w:rsidR="004A49E0" w:rsidRPr="005E77A9" w:rsidRDefault="004A49E0" w:rsidP="00F05409">
            <w:pPr>
              <w:spacing w:after="120" w:line="240" w:lineRule="auto"/>
              <w:ind w:left="820" w:right="240" w:hanging="360"/>
              <w:rPr>
                <w:sz w:val="20"/>
              </w:rPr>
            </w:pPr>
            <w:r w:rsidRPr="005E77A9">
              <w:rPr>
                <w:sz w:val="20"/>
              </w:rPr>
              <w:t xml:space="preserve">2.      </w:t>
            </w:r>
          </w:p>
        </w:tc>
        <w:tc>
          <w:tcPr>
            <w:tcW w:w="4845"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2070"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F05409">
        <w:tc>
          <w:tcPr>
            <w:tcW w:w="1620" w:type="dxa"/>
            <w:tcMar>
              <w:top w:w="100" w:type="dxa"/>
              <w:left w:w="100" w:type="dxa"/>
              <w:bottom w:w="100" w:type="dxa"/>
              <w:right w:w="100" w:type="dxa"/>
            </w:tcMar>
          </w:tcPr>
          <w:p w14:paraId="26AE5084" w14:textId="77777777" w:rsidR="004A49E0" w:rsidRPr="005E77A9" w:rsidRDefault="004A49E0" w:rsidP="00F05409">
            <w:pPr>
              <w:spacing w:after="120" w:line="240" w:lineRule="auto"/>
              <w:ind w:left="820" w:right="240" w:hanging="360"/>
              <w:rPr>
                <w:sz w:val="20"/>
              </w:rPr>
            </w:pPr>
            <w:r w:rsidRPr="005E77A9">
              <w:rPr>
                <w:sz w:val="20"/>
              </w:rPr>
              <w:t xml:space="preserve">3.      </w:t>
            </w:r>
          </w:p>
        </w:tc>
        <w:tc>
          <w:tcPr>
            <w:tcW w:w="4845"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F05409">
        <w:tc>
          <w:tcPr>
            <w:tcW w:w="1620" w:type="dxa"/>
            <w:tcMar>
              <w:top w:w="100" w:type="dxa"/>
              <w:left w:w="100" w:type="dxa"/>
              <w:bottom w:w="100" w:type="dxa"/>
              <w:right w:w="100" w:type="dxa"/>
            </w:tcMar>
          </w:tcPr>
          <w:p w14:paraId="56D0039B" w14:textId="77777777" w:rsidR="004A49E0" w:rsidRPr="005E77A9" w:rsidRDefault="004A49E0" w:rsidP="00F05409">
            <w:pPr>
              <w:spacing w:after="120" w:line="240" w:lineRule="auto"/>
              <w:ind w:left="820" w:right="240" w:hanging="360"/>
              <w:rPr>
                <w:sz w:val="20"/>
              </w:rPr>
            </w:pPr>
            <w:r w:rsidRPr="005E77A9">
              <w:rPr>
                <w:sz w:val="20"/>
              </w:rPr>
              <w:t>4.</w:t>
            </w:r>
          </w:p>
        </w:tc>
        <w:tc>
          <w:tcPr>
            <w:tcW w:w="4845"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F05409">
        <w:tc>
          <w:tcPr>
            <w:tcW w:w="1620" w:type="dxa"/>
            <w:tcMar>
              <w:top w:w="100" w:type="dxa"/>
              <w:left w:w="100" w:type="dxa"/>
              <w:bottom w:w="100" w:type="dxa"/>
              <w:right w:w="100" w:type="dxa"/>
            </w:tcMar>
          </w:tcPr>
          <w:p w14:paraId="0ACCF598" w14:textId="77777777" w:rsidR="004A49E0" w:rsidRPr="005E77A9" w:rsidRDefault="004A49E0" w:rsidP="00F05409">
            <w:pPr>
              <w:spacing w:after="120" w:line="240" w:lineRule="auto"/>
              <w:ind w:left="820" w:right="240" w:hanging="360"/>
              <w:rPr>
                <w:sz w:val="20"/>
              </w:rPr>
            </w:pPr>
            <w:r w:rsidRPr="005E77A9">
              <w:rPr>
                <w:sz w:val="20"/>
              </w:rPr>
              <w:t>5.</w:t>
            </w:r>
          </w:p>
        </w:tc>
        <w:tc>
          <w:tcPr>
            <w:tcW w:w="4845"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F05409">
        <w:tc>
          <w:tcPr>
            <w:tcW w:w="1620" w:type="dxa"/>
            <w:tcMar>
              <w:top w:w="100" w:type="dxa"/>
              <w:left w:w="100" w:type="dxa"/>
              <w:bottom w:w="100" w:type="dxa"/>
              <w:right w:w="100" w:type="dxa"/>
            </w:tcMar>
          </w:tcPr>
          <w:p w14:paraId="08342AC2" w14:textId="77777777" w:rsidR="004A49E0" w:rsidRPr="005E77A9" w:rsidRDefault="004A49E0" w:rsidP="00F05409">
            <w:pPr>
              <w:spacing w:after="120" w:line="240" w:lineRule="auto"/>
              <w:ind w:left="820" w:right="240" w:hanging="360"/>
              <w:rPr>
                <w:sz w:val="20"/>
              </w:rPr>
            </w:pPr>
            <w:r w:rsidRPr="005E77A9">
              <w:rPr>
                <w:sz w:val="20"/>
              </w:rPr>
              <w:lastRenderedPageBreak/>
              <w:t>6.</w:t>
            </w:r>
          </w:p>
        </w:tc>
        <w:tc>
          <w:tcPr>
            <w:tcW w:w="4845"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2070"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F05409">
        <w:tc>
          <w:tcPr>
            <w:tcW w:w="1620" w:type="dxa"/>
            <w:tcMar>
              <w:top w:w="100" w:type="dxa"/>
              <w:left w:w="100" w:type="dxa"/>
              <w:bottom w:w="100" w:type="dxa"/>
              <w:right w:w="100" w:type="dxa"/>
            </w:tcMar>
          </w:tcPr>
          <w:p w14:paraId="75B39209" w14:textId="77777777" w:rsidR="004A49E0" w:rsidRPr="005E77A9" w:rsidRDefault="004A49E0" w:rsidP="00F05409">
            <w:pPr>
              <w:spacing w:after="120" w:line="240" w:lineRule="auto"/>
              <w:ind w:left="820" w:right="240" w:hanging="360"/>
              <w:rPr>
                <w:sz w:val="20"/>
              </w:rPr>
            </w:pPr>
            <w:r w:rsidRPr="005E77A9">
              <w:rPr>
                <w:sz w:val="20"/>
              </w:rPr>
              <w:t>7.</w:t>
            </w:r>
          </w:p>
        </w:tc>
        <w:tc>
          <w:tcPr>
            <w:tcW w:w="4845"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F05409">
        <w:tc>
          <w:tcPr>
            <w:tcW w:w="1620" w:type="dxa"/>
            <w:tcMar>
              <w:top w:w="100" w:type="dxa"/>
              <w:left w:w="100" w:type="dxa"/>
              <w:bottom w:w="100" w:type="dxa"/>
              <w:right w:w="100" w:type="dxa"/>
            </w:tcMar>
          </w:tcPr>
          <w:p w14:paraId="46174D6A" w14:textId="77777777" w:rsidR="004A49E0" w:rsidRPr="005E77A9" w:rsidRDefault="004A49E0" w:rsidP="00F05409">
            <w:pPr>
              <w:spacing w:after="120" w:line="240" w:lineRule="auto"/>
              <w:ind w:left="820" w:right="240" w:hanging="360"/>
              <w:rPr>
                <w:sz w:val="20"/>
              </w:rPr>
            </w:pPr>
            <w:r w:rsidRPr="005E77A9">
              <w:rPr>
                <w:sz w:val="20"/>
              </w:rPr>
              <w:t>8.</w:t>
            </w:r>
          </w:p>
        </w:tc>
        <w:tc>
          <w:tcPr>
            <w:tcW w:w="4845"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2070"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F05409">
        <w:tc>
          <w:tcPr>
            <w:tcW w:w="1620" w:type="dxa"/>
            <w:tcMar>
              <w:top w:w="100" w:type="dxa"/>
              <w:left w:w="100" w:type="dxa"/>
              <w:bottom w:w="100" w:type="dxa"/>
              <w:right w:w="100" w:type="dxa"/>
            </w:tcMar>
          </w:tcPr>
          <w:p w14:paraId="3F8E823F" w14:textId="77777777" w:rsidR="004A49E0" w:rsidRPr="005E77A9" w:rsidRDefault="004A49E0" w:rsidP="00F05409">
            <w:pPr>
              <w:spacing w:after="120" w:line="240" w:lineRule="auto"/>
              <w:ind w:left="820" w:right="240" w:hanging="360"/>
              <w:rPr>
                <w:sz w:val="20"/>
              </w:rPr>
            </w:pPr>
            <w:r w:rsidRPr="005E77A9">
              <w:rPr>
                <w:sz w:val="20"/>
              </w:rPr>
              <w:t>9.</w:t>
            </w:r>
          </w:p>
        </w:tc>
        <w:tc>
          <w:tcPr>
            <w:tcW w:w="4845"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F05409">
        <w:tc>
          <w:tcPr>
            <w:tcW w:w="1620" w:type="dxa"/>
            <w:tcMar>
              <w:top w:w="100" w:type="dxa"/>
              <w:left w:w="100" w:type="dxa"/>
              <w:bottom w:w="100" w:type="dxa"/>
              <w:right w:w="100" w:type="dxa"/>
            </w:tcMar>
          </w:tcPr>
          <w:p w14:paraId="71377105" w14:textId="77777777" w:rsidR="004A49E0" w:rsidRPr="005E77A9" w:rsidRDefault="004A49E0" w:rsidP="00F05409">
            <w:pPr>
              <w:spacing w:after="120" w:line="240" w:lineRule="auto"/>
              <w:ind w:left="820" w:right="240" w:hanging="360"/>
              <w:rPr>
                <w:sz w:val="20"/>
              </w:rPr>
            </w:pPr>
            <w:r w:rsidRPr="005E77A9">
              <w:rPr>
                <w:sz w:val="20"/>
              </w:rPr>
              <w:t>10.</w:t>
            </w:r>
          </w:p>
        </w:tc>
        <w:tc>
          <w:tcPr>
            <w:tcW w:w="4845"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070"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7BD65711" w14:textId="3D094EFC" w:rsidR="008E275F" w:rsidRPr="005E77A9" w:rsidRDefault="008E275F" w:rsidP="00D10889">
      <w:pPr>
        <w:spacing w:line="240" w:lineRule="auto"/>
        <w:jc w:val="center"/>
        <w:rPr>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lastRenderedPageBreak/>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1EB358BE"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w:t>
      </w:r>
      <w:r w:rsidR="004411D6">
        <w:rPr>
          <w:sz w:val="20"/>
        </w:rPr>
        <w:t> </w:t>
      </w:r>
      <w:r w:rsidRPr="005E77A9">
        <w:rPr>
          <w:sz w:val="20"/>
        </w:rPr>
        <w:t>zariadenia</w:t>
      </w:r>
      <w:r w:rsidR="004411D6">
        <w:rPr>
          <w:sz w:val="20"/>
        </w:rPr>
        <w:t xml:space="preserve"> </w:t>
      </w:r>
      <w:r w:rsidRPr="005E77A9">
        <w:rPr>
          <w:sz w:val="20"/>
        </w:rPr>
        <w:t>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w:t>
      </w:r>
      <w:r w:rsidR="004411D6">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2AD4663F"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515FD7" w:rsidRPr="005E77A9">
        <w:rPr>
          <w:sz w:val="20"/>
        </w:rPr>
        <w:t>;</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bookmarkStart w:id="4" w:name="_Hlk132905121"/>
      <w:r w:rsidR="000C7887" w:rsidRPr="005E77A9">
        <w:rPr>
          <w:sz w:val="20"/>
        </w:rPr>
        <w:t>;</w:t>
      </w:r>
    </w:p>
    <w:bookmarkEnd w:id="4"/>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lastRenderedPageBreak/>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5EDA15E6"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 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lastRenderedPageBreak/>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6D5A3EDC" w14:textId="09E62BFE" w:rsidR="000E38DC" w:rsidRDefault="000E38DC"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046CFDFF" w14:textId="4C0DF68A" w:rsidR="003A1045" w:rsidRPr="005E77A9" w:rsidRDefault="003A1045" w:rsidP="003A1045">
      <w:pPr>
        <w:spacing w:line="233" w:lineRule="auto"/>
        <w:ind w:left="690" w:hanging="720"/>
        <w:jc w:val="both"/>
        <w:rPr>
          <w:sz w:val="20"/>
        </w:rPr>
      </w:pPr>
      <w:r w:rsidRPr="005E77A9">
        <w:rPr>
          <w:b/>
          <w:sz w:val="20"/>
        </w:rPr>
        <w:t>10.5</w:t>
      </w:r>
      <w:r w:rsidRPr="005E77A9">
        <w:rPr>
          <w:sz w:val="20"/>
        </w:rPr>
        <w:t xml:space="preserve">   </w:t>
      </w:r>
      <w:r w:rsidRPr="005E77A9">
        <w:rPr>
          <w:sz w:val="20"/>
        </w:rPr>
        <w:tab/>
        <w:t xml:space="preserve">Pre vylúčenie akýchkoľvek pochybností platí, že počas lehoty určenej </w:t>
      </w:r>
      <w:r>
        <w:rPr>
          <w:sz w:val="20"/>
        </w:rPr>
        <w:t xml:space="preserve">Prenajímateľom </w:t>
      </w:r>
      <w:r w:rsidRPr="005E77A9">
        <w:rPr>
          <w:sz w:val="20"/>
        </w:rPr>
        <w:t xml:space="preserve">pre vypratanie Predmetu nájmu podľa </w:t>
      </w:r>
      <w:r>
        <w:rPr>
          <w:sz w:val="20"/>
        </w:rPr>
        <w:t>bodu 4.5 druhá veta</w:t>
      </w:r>
      <w:r w:rsidRPr="005E77A9">
        <w:rPr>
          <w:sz w:val="20"/>
        </w:rPr>
        <w:t xml:space="preserve">, a aj v prípade, ak Nájomca nevyprace Predmet nájmu </w:t>
      </w:r>
      <w:r>
        <w:rPr>
          <w:sz w:val="20"/>
        </w:rPr>
        <w:t>a nevráti ho Prenajímateľovi v súlade s</w:t>
      </w:r>
      <w:r w:rsidRPr="005E77A9">
        <w:rPr>
          <w:sz w:val="20"/>
        </w:rPr>
        <w:t xml:space="preserve"> bod</w:t>
      </w:r>
      <w:r>
        <w:rPr>
          <w:sz w:val="20"/>
        </w:rPr>
        <w:t>om</w:t>
      </w:r>
      <w:r w:rsidRPr="005E77A9">
        <w:rPr>
          <w:sz w:val="20"/>
        </w:rPr>
        <w:t xml:space="preserve"> 10.4, Prenajímateľ má právo požadovať od Nájomcu úhradu za skutočné 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a to vo výške, ktorá bude odvodená od výšky posledného ročného Nájomného.</w:t>
      </w:r>
    </w:p>
    <w:p w14:paraId="6458CE8A" w14:textId="77777777" w:rsidR="003A1045" w:rsidRPr="005E77A9" w:rsidRDefault="003A1045" w:rsidP="003A1045">
      <w:pPr>
        <w:spacing w:line="233" w:lineRule="auto"/>
        <w:ind w:left="690" w:hanging="720"/>
        <w:jc w:val="both"/>
        <w:rPr>
          <w:sz w:val="20"/>
        </w:rPr>
      </w:pPr>
    </w:p>
    <w:p w14:paraId="3DF87919" w14:textId="1092725E" w:rsidR="003A1045" w:rsidRPr="005E77A9" w:rsidRDefault="003A1045" w:rsidP="003A1045">
      <w:pPr>
        <w:spacing w:line="233" w:lineRule="auto"/>
        <w:ind w:left="690" w:hanging="720"/>
        <w:jc w:val="both"/>
        <w:rPr>
          <w:sz w:val="20"/>
        </w:rPr>
      </w:pPr>
      <w:r w:rsidRPr="005E77A9">
        <w:rPr>
          <w:b/>
          <w:sz w:val="20"/>
        </w:rPr>
        <w:t>10.6</w:t>
      </w:r>
      <w:r w:rsidRPr="005E77A9">
        <w:rPr>
          <w:sz w:val="20"/>
        </w:rPr>
        <w:tab/>
        <w:t xml:space="preserve">Ak Nájomca nevyprace Predmet nájmu </w:t>
      </w:r>
      <w:r>
        <w:rPr>
          <w:sz w:val="20"/>
        </w:rPr>
        <w:t>a nevráti ho Prenajímateľovi v súlade s týmto článkom 10</w:t>
      </w:r>
      <w:r w:rsidRPr="005E77A9">
        <w:rPr>
          <w:sz w:val="20"/>
        </w:rPr>
        <w:t xml:space="preserve">, Prenajímateľ má právo požadovať od Nájomcu popri nároku vyplývajúcom z bodu 10.5, aj zmluvnú pokutu za </w:t>
      </w:r>
      <w:r>
        <w:rPr>
          <w:sz w:val="20"/>
        </w:rPr>
        <w:t xml:space="preserve">neoprávnené </w:t>
      </w:r>
      <w:r w:rsidRPr="005E77A9">
        <w:rPr>
          <w:sz w:val="20"/>
        </w:rPr>
        <w:t>užívanie Predmetu nájmu po skončení nájomného vzťahu</w:t>
      </w:r>
      <w:r>
        <w:rPr>
          <w:sz w:val="20"/>
        </w:rPr>
        <w:t xml:space="preserve"> resp. po uplynutí lehoty určenej Prenajímateľom </w:t>
      </w:r>
      <w:r w:rsidRPr="005E77A9">
        <w:rPr>
          <w:sz w:val="20"/>
        </w:rPr>
        <w:t xml:space="preserve">pre vypratanie Predmetu nájmu podľa </w:t>
      </w:r>
      <w:r>
        <w:rPr>
          <w:sz w:val="20"/>
        </w:rPr>
        <w:t>bodu 4.5 druhá veta</w:t>
      </w:r>
      <w:r w:rsidRPr="005E77A9">
        <w:rPr>
          <w:sz w:val="20"/>
        </w:rPr>
        <w:t xml:space="preserve">, a to vo výške </w:t>
      </w:r>
      <w:r>
        <w:rPr>
          <w:sz w:val="20"/>
        </w:rPr>
        <w:t>200 EUR</w:t>
      </w:r>
      <w:r w:rsidRPr="005E77A9">
        <w:rPr>
          <w:sz w:val="20"/>
        </w:rPr>
        <w:t xml:space="preserve"> za každý deň omeškania s</w:t>
      </w:r>
      <w:r>
        <w:rPr>
          <w:sz w:val="20"/>
        </w:rPr>
        <w:t> </w:t>
      </w:r>
      <w:r w:rsidRPr="005E77A9">
        <w:rPr>
          <w:sz w:val="20"/>
        </w:rPr>
        <w:t>vyprataním</w:t>
      </w:r>
      <w:r>
        <w:rPr>
          <w:sz w:val="20"/>
        </w:rPr>
        <w:t xml:space="preserve"> Predmetu nájmu a jeho vrátením Prenajímateľovi</w:t>
      </w:r>
      <w:r w:rsidRPr="005E77A9">
        <w:rPr>
          <w:sz w:val="20"/>
        </w:rPr>
        <w:t>.</w:t>
      </w:r>
    </w:p>
    <w:bookmarkEnd w:id="5"/>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F84E26">
      <w:pPr>
        <w:pStyle w:val="Normlny10"/>
        <w:spacing w:before="120" w:after="120" w:line="233" w:lineRule="auto"/>
        <w:jc w:val="both"/>
        <w:rPr>
          <w:sz w:val="20"/>
          <w:szCs w:val="20"/>
        </w:rPr>
      </w:pP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A11EDB">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A11EDB">
      <w:pPr>
        <w:spacing w:line="233" w:lineRule="auto"/>
        <w:ind w:left="1530" w:hanging="840"/>
        <w:jc w:val="both"/>
        <w:rPr>
          <w:sz w:val="20"/>
        </w:rPr>
      </w:pPr>
    </w:p>
    <w:p w14:paraId="531093FA" w14:textId="77777777" w:rsidR="00515FD7" w:rsidRPr="00211227" w:rsidRDefault="009C4F0B" w:rsidP="00515FD7">
      <w:pPr>
        <w:spacing w:line="233" w:lineRule="auto"/>
        <w:ind w:left="2127" w:hanging="1437"/>
        <w:jc w:val="both"/>
        <w:rPr>
          <w:sz w:val="20"/>
        </w:rPr>
      </w:pPr>
      <w:r w:rsidRPr="005E77A9">
        <w:rPr>
          <w:sz w:val="20"/>
        </w:rPr>
        <w:tab/>
      </w:r>
      <w:r w:rsidR="00F6371C">
        <w:rPr>
          <w:sz w:val="20"/>
        </w:rPr>
        <w:tab/>
      </w:r>
      <w:r w:rsidR="00515FD7" w:rsidRPr="00211227">
        <w:rPr>
          <w:sz w:val="20"/>
        </w:rPr>
        <w:t>meno a priezvisko:</w:t>
      </w:r>
      <w:r w:rsidR="00515FD7" w:rsidRPr="00211227">
        <w:rPr>
          <w:sz w:val="20"/>
        </w:rPr>
        <w:tab/>
        <w:t xml:space="preserve">Ing. </w:t>
      </w:r>
      <w:r w:rsidR="00515FD7" w:rsidRPr="00211227">
        <w:rPr>
          <w:rFonts w:eastAsia="Arial Unicode MS"/>
          <w:sz w:val="20"/>
        </w:rPr>
        <w:t>Fedor Augustín</w:t>
      </w:r>
    </w:p>
    <w:p w14:paraId="3E09B9E8" w14:textId="77777777" w:rsidR="00515FD7" w:rsidRPr="00211227" w:rsidRDefault="00515FD7" w:rsidP="00515FD7">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Pr="00211227">
        <w:rPr>
          <w:rFonts w:eastAsia="Arial Unicode MS"/>
          <w:sz w:val="20"/>
        </w:rPr>
        <w:t>fedor.augustin@vpas.sk</w:t>
      </w:r>
    </w:p>
    <w:p w14:paraId="162DDC31" w14:textId="77777777" w:rsidR="00515FD7" w:rsidRPr="005E77A9" w:rsidRDefault="00515FD7" w:rsidP="00515FD7">
      <w:pPr>
        <w:spacing w:before="120" w:after="24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+421 903 351</w:t>
      </w:r>
      <w:r>
        <w:rPr>
          <w:rFonts w:eastAsia="Arial Unicode MS"/>
          <w:sz w:val="20"/>
        </w:rPr>
        <w:t> </w:t>
      </w:r>
      <w:r w:rsidRPr="00211227">
        <w:rPr>
          <w:rFonts w:eastAsia="Arial Unicode MS"/>
          <w:sz w:val="20"/>
        </w:rPr>
        <w:t>626</w:t>
      </w:r>
    </w:p>
    <w:p w14:paraId="665A62B5" w14:textId="7864EE48" w:rsidR="009C4F0B" w:rsidRPr="005E77A9" w:rsidRDefault="009C4F0B" w:rsidP="00515FD7">
      <w:pPr>
        <w:spacing w:line="233" w:lineRule="auto"/>
        <w:ind w:left="1530" w:hanging="840"/>
        <w:jc w:val="both"/>
        <w:rPr>
          <w:sz w:val="20"/>
        </w:rPr>
      </w:pPr>
      <w:r w:rsidRPr="00211227">
        <w:rPr>
          <w:sz w:val="20"/>
        </w:rPr>
        <w:tab/>
      </w:r>
      <w:r w:rsidRPr="00211227">
        <w:rPr>
          <w:sz w:val="20"/>
        </w:rPr>
        <w:tab/>
      </w:r>
    </w:p>
    <w:p w14:paraId="72CD87DA" w14:textId="6A3471E6" w:rsidR="00A11EDB" w:rsidRPr="005E77A9" w:rsidRDefault="00A11EDB" w:rsidP="00EB2514">
      <w:pPr>
        <w:spacing w:line="233" w:lineRule="auto"/>
        <w:ind w:left="1530" w:hanging="840"/>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A11EDB">
      <w:pPr>
        <w:spacing w:line="233" w:lineRule="auto"/>
        <w:ind w:left="1530" w:hanging="840"/>
        <w:jc w:val="both"/>
        <w:rPr>
          <w:sz w:val="20"/>
          <w:u w:val="single"/>
        </w:rPr>
      </w:pPr>
    </w:p>
    <w:p w14:paraId="622C5107" w14:textId="77777777" w:rsidR="00A11EDB" w:rsidRPr="005E77A9" w:rsidRDefault="00A11EDB" w:rsidP="00A11EDB">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A11EDB">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A11EDB">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705F676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Rozhodujúce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EA854DA" w:rsidR="00A11EDB" w:rsidRPr="005E77A9" w:rsidRDefault="00C16000" w:rsidP="00515FD7">
      <w:pPr>
        <w:spacing w:line="233" w:lineRule="auto"/>
        <w:ind w:left="1560" w:hanging="90"/>
        <w:jc w:val="both"/>
        <w:rPr>
          <w:b/>
          <w:bCs/>
          <w:sz w:val="20"/>
        </w:rPr>
      </w:pPr>
      <w:r>
        <w:rPr>
          <w:b/>
          <w:bCs/>
          <w:sz w:val="20"/>
          <w:highlight w:val="yellow"/>
        </w:rPr>
        <w:t xml:space="preserve"> </w:t>
      </w:r>
    </w:p>
    <w:p w14:paraId="67CD5FF2" w14:textId="42C515B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3A349637" w:rsidR="002F746F" w:rsidRPr="002F746F" w:rsidRDefault="002F746F" w:rsidP="00BA5D5F">
            <w:pPr>
              <w:pStyle w:val="Normlny10"/>
              <w:ind w:left="100"/>
              <w:jc w:val="both"/>
              <w:rPr>
                <w:b/>
                <w:bCs/>
                <w:color w:val="000000" w:themeColor="text1"/>
                <w:sz w:val="20"/>
              </w:rPr>
            </w:pPr>
            <w:r w:rsidRPr="002F746F">
              <w:rPr>
                <w:b/>
                <w:bCs/>
                <w:color w:val="000000" w:themeColor="text1"/>
                <w:sz w:val="20"/>
              </w:rPr>
              <w:t xml:space="preserve">JUDr. PhDr. Martin Fakla, PhD. </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F6371C">
      <w:footerReference w:type="default" r:id="rId9"/>
      <w:pgSz w:w="12240" w:h="15840"/>
      <w:pgMar w:top="1135" w:right="1041"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98F09" w14:textId="77777777" w:rsidR="001776E6" w:rsidRDefault="001776E6">
      <w:pPr>
        <w:spacing w:line="240" w:lineRule="auto"/>
      </w:pPr>
      <w:r>
        <w:separator/>
      </w:r>
    </w:p>
  </w:endnote>
  <w:endnote w:type="continuationSeparator" w:id="0">
    <w:p w14:paraId="16CA22A9" w14:textId="77777777" w:rsidR="001776E6" w:rsidRDefault="001776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346C3" w14:textId="77777777" w:rsidR="001776E6" w:rsidRDefault="001776E6">
      <w:pPr>
        <w:spacing w:line="240" w:lineRule="auto"/>
      </w:pPr>
      <w:r>
        <w:separator/>
      </w:r>
    </w:p>
  </w:footnote>
  <w:footnote w:type="continuationSeparator" w:id="0">
    <w:p w14:paraId="224EA1ED" w14:textId="77777777" w:rsidR="001776E6" w:rsidRDefault="001776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776E6"/>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3CBA"/>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11D6"/>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15FD7"/>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2663"/>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5826</Words>
  <Characters>33214</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3</cp:revision>
  <cp:lastPrinted>2019-10-14T07:00:00Z</cp:lastPrinted>
  <dcterms:created xsi:type="dcterms:W3CDTF">2023-04-20T15:47:00Z</dcterms:created>
  <dcterms:modified xsi:type="dcterms:W3CDTF">2023-04-27T16:16:00Z</dcterms:modified>
  <cp:contentStatus/>
</cp:coreProperties>
</file>