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58E76EA5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73084B">
        <w:rPr>
          <w:rFonts w:ascii="Times New Roman" w:hAnsi="Times New Roman"/>
          <w:b/>
          <w:sz w:val="36"/>
          <w:szCs w:val="36"/>
        </w:rPr>
        <w:t>a licencií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>(ďalej len „Obchodný zá</w:t>
      </w:r>
      <w:bookmarkStart w:id="0" w:name="_GoBack"/>
      <w:bookmarkEnd w:id="0"/>
      <w:r w:rsidR="00A44A78" w:rsidRPr="00096247">
        <w:rPr>
          <w:rFonts w:ascii="Times New Roman" w:hAnsi="Times New Roman"/>
          <w:b/>
          <w:sz w:val="24"/>
          <w:szCs w:val="24"/>
        </w:rPr>
        <w:t xml:space="preserve">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233B36CA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895B54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895B54">
        <w:rPr>
          <w:rFonts w:ascii="Times New Roman" w:hAnsi="Times New Roman"/>
          <w:i/>
          <w:sz w:val="24"/>
          <w:szCs w:val="24"/>
        </w:rPr>
        <w:t>„</w:t>
      </w:r>
      <w:r w:rsidR="00895B54" w:rsidRPr="00895B54">
        <w:rPr>
          <w:rFonts w:ascii="Times New Roman" w:hAnsi="Times New Roman"/>
          <w:i/>
          <w:sz w:val="24"/>
          <w:szCs w:val="24"/>
        </w:rPr>
        <w:t xml:space="preserve">Obnova licencií a podpory pre produkt </w:t>
      </w:r>
      <w:proofErr w:type="spellStart"/>
      <w:r w:rsidR="00895B54" w:rsidRPr="00895B54">
        <w:rPr>
          <w:rFonts w:ascii="Times New Roman" w:hAnsi="Times New Roman"/>
          <w:i/>
          <w:sz w:val="24"/>
          <w:szCs w:val="24"/>
        </w:rPr>
        <w:t>VMware</w:t>
      </w:r>
      <w:proofErr w:type="spellEnd"/>
      <w:r w:rsidR="00895B54" w:rsidRPr="00895B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B54" w:rsidRPr="00895B54">
        <w:rPr>
          <w:rFonts w:ascii="Times New Roman" w:hAnsi="Times New Roman"/>
          <w:i/>
          <w:sz w:val="24"/>
          <w:szCs w:val="24"/>
        </w:rPr>
        <w:t>Workspace</w:t>
      </w:r>
      <w:proofErr w:type="spellEnd"/>
      <w:r w:rsidR="00895B54" w:rsidRPr="00895B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5B54" w:rsidRPr="00895B54">
        <w:rPr>
          <w:rFonts w:ascii="Times New Roman" w:hAnsi="Times New Roman"/>
          <w:i/>
          <w:sz w:val="24"/>
          <w:szCs w:val="24"/>
        </w:rPr>
        <w:t>One</w:t>
      </w:r>
      <w:proofErr w:type="spellEnd"/>
      <w:r w:rsidR="00895B54" w:rsidRPr="00895B54">
        <w:rPr>
          <w:rFonts w:ascii="Times New Roman" w:hAnsi="Times New Roman"/>
          <w:i/>
          <w:sz w:val="24"/>
          <w:szCs w:val="24"/>
        </w:rPr>
        <w:t>“</w:t>
      </w:r>
      <w:r w:rsidR="0079080B" w:rsidRPr="00895B54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895B54">
        <w:rPr>
          <w:rFonts w:ascii="Times New Roman" w:hAnsi="Times New Roman"/>
          <w:bCs/>
          <w:noProof/>
          <w:sz w:val="24"/>
          <w:szCs w:val="24"/>
        </w:rPr>
        <w:t xml:space="preserve">zadávaná v kategórii č. </w:t>
      </w:r>
      <w:r w:rsidR="005B5BDF" w:rsidRPr="00895B54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5B5BDF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5B5BDF" w:rsidRPr="005B5BDF">
        <w:rPr>
          <w:rFonts w:ascii="Times New Roman" w:hAnsi="Times New Roman"/>
          <w:i/>
          <w:sz w:val="24"/>
          <w:szCs w:val="24"/>
        </w:rPr>
        <w:t xml:space="preserve">Technická podpora pre produkty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VMware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vSphere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Essentials Plus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Kit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VMware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vCenter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Server 6 Standard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for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vSphere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a 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VMware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v 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Sphere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6 Standard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for</w:t>
      </w:r>
      <w:proofErr w:type="spellEnd"/>
      <w:r w:rsidR="005B5BDF" w:rsidRPr="005B5BDF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="005B5BDF" w:rsidRPr="005B5BDF">
        <w:rPr>
          <w:rFonts w:ascii="Times New Roman" w:hAnsi="Times New Roman"/>
          <w:i/>
          <w:sz w:val="24"/>
          <w:szCs w:val="24"/>
        </w:rPr>
        <w:t>processor</w:t>
      </w:r>
      <w:proofErr w:type="spellEnd"/>
      <w:r w:rsidR="0079080B" w:rsidRPr="005B5BDF">
        <w:rPr>
          <w:rFonts w:ascii="Times New Roman" w:hAnsi="Times New Roman"/>
          <w:bCs/>
          <w:i/>
          <w:noProof/>
          <w:sz w:val="24"/>
          <w:szCs w:val="24"/>
        </w:rPr>
        <w:t xml:space="preserve">“-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výzva na predkladanie ponúk č. </w:t>
      </w:r>
      <w:r w:rsidR="007D7BE5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5B5BDF">
        <w:rPr>
          <w:rFonts w:ascii="Times New Roman" w:hAnsi="Times New Roman"/>
          <w:bCs/>
          <w:i/>
          <w:noProof/>
          <w:sz w:val="24"/>
          <w:szCs w:val="24"/>
        </w:rPr>
        <w:t>5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B2ECB47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A009CF5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a licenci</w:t>
      </w:r>
      <w:r w:rsidR="00E932D0">
        <w:rPr>
          <w:rFonts w:ascii="Times New Roman" w:hAnsi="Times New Roman"/>
          <w:sz w:val="24"/>
          <w:szCs w:val="24"/>
        </w:rPr>
        <w:t>e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9819EA" w:rsidRPr="00B50528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48B46B08" w14:textId="77777777" w:rsidR="004F62C7" w:rsidRDefault="004F62C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3A471D41" w:rsidR="00ED32EE" w:rsidRPr="0048673E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67A3C37F" w:rsidR="005976C5" w:rsidRPr="00096247" w:rsidRDefault="00E03BD4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2F300793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, 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3477A3" w:rsidRPr="003477A3">
        <w:rPr>
          <w:rFonts w:ascii="Times New Roman" w:eastAsia="Times New Roman" w:hAnsi="Times New Roman"/>
          <w:sz w:val="24"/>
          <w:szCs w:val="24"/>
          <w:lang w:eastAsia="cs-CZ"/>
        </w:rPr>
        <w:t>.. EUR s DPH (slovom: ............................... s DPH)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47AA0E1F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8B3F4A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4F7C2F9D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410F1CF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F42CC0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7CF97BC3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4F62C7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365C" w14:textId="3F078317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1C407BE" w14:textId="7E37D556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C53A8"/>
    <w:rsid w:val="005E2C33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5F7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3471</Words>
  <Characters>19785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2022-12-02T12:02:00Z</dcterms:created>
  <dcterms:modified xsi:type="dcterms:W3CDTF">2023-05-19T11:52:00Z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</Properties>
</file>