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ADA" w:rsidRPr="005B7ADA" w:rsidRDefault="005B7ADA" w:rsidP="00354E28">
      <w:pPr>
        <w:spacing w:before="160" w:after="160" w:line="29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Príloha č. 4</w:t>
      </w:r>
    </w:p>
    <w:p w:rsidR="00A10ADE" w:rsidRPr="00070BC6" w:rsidRDefault="00A10ADE" w:rsidP="00A10ADE">
      <w:pPr>
        <w:spacing w:before="160" w:after="160" w:line="290" w:lineRule="auto"/>
        <w:jc w:val="center"/>
        <w:rPr>
          <w:rFonts w:ascii="Arial" w:hAnsi="Arial" w:cs="Arial"/>
          <w:sz w:val="18"/>
          <w:szCs w:val="18"/>
          <w:lang w:eastAsia="sk-SK"/>
        </w:rPr>
      </w:pPr>
      <w:r w:rsidRPr="00070BC6">
        <w:rPr>
          <w:rFonts w:ascii="Arial" w:hAnsi="Arial" w:cs="Arial"/>
          <w:sz w:val="18"/>
          <w:szCs w:val="18"/>
          <w:lang w:eastAsia="sk-SK"/>
        </w:rPr>
        <w:t>k zmluve o dielo na časť technológia č.</w:t>
      </w:r>
      <w:r w:rsidRPr="00070BC6">
        <w:rPr>
          <w:rFonts w:ascii="Arial" w:hAnsi="Arial" w:cs="Arial"/>
          <w:sz w:val="18"/>
          <w:szCs w:val="18"/>
        </w:rPr>
        <w:t xml:space="preserve"> [</w:t>
      </w:r>
      <w:r w:rsidRPr="00070BC6">
        <w:rPr>
          <w:rFonts w:ascii="Arial" w:hAnsi="Arial" w:cs="Arial"/>
          <w:sz w:val="18"/>
          <w:szCs w:val="18"/>
          <w:highlight w:val="yellow"/>
        </w:rPr>
        <w:t>●</w:t>
      </w:r>
      <w:r w:rsidRPr="00070BC6">
        <w:rPr>
          <w:rFonts w:ascii="Arial" w:hAnsi="Arial" w:cs="Arial"/>
          <w:sz w:val="18"/>
          <w:szCs w:val="18"/>
        </w:rPr>
        <w:t>]</w:t>
      </w:r>
    </w:p>
    <w:p w:rsidR="00916021" w:rsidRPr="005B7ADA" w:rsidRDefault="005B7ADA" w:rsidP="00354E28">
      <w:pPr>
        <w:spacing w:before="160" w:after="160" w:line="29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</w:pPr>
      <w:r w:rsidRPr="0086578B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Individuálne a komplexné skúšky</w:t>
      </w:r>
    </w:p>
    <w:p w:rsidR="00E1566B" w:rsidRDefault="00E1566B" w:rsidP="00354E28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 xml:space="preserve">Komplexné skúšky vykonáva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 xml:space="preserve">odávateľ za účelom preukázania funkčnosti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 xml:space="preserve">iela v zmysle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tejto Zmluvy (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zmluvy o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dielo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).</w:t>
      </w:r>
    </w:p>
    <w:p w:rsidR="00E1566B" w:rsidRDefault="00E1566B" w:rsidP="00354E28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Komplexné skúšky sú vykonávané za prítomnosti oprávnených osôb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>bjednávateľa</w:t>
      </w:r>
      <w:r w:rsidR="00C82466" w:rsidRPr="00354E28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A061E0" w:rsidRPr="00354E28" w:rsidRDefault="00A061E0" w:rsidP="00354E28">
      <w:pPr>
        <w:pStyle w:val="Odsekzoznamu"/>
        <w:rPr>
          <w:rFonts w:ascii="Arial" w:eastAsia="Times New Roman" w:hAnsi="Arial" w:cs="Arial"/>
          <w:sz w:val="20"/>
          <w:szCs w:val="20"/>
          <w:lang w:eastAsia="sk-SK"/>
        </w:rPr>
      </w:pPr>
    </w:p>
    <w:p w:rsidR="00916021" w:rsidRDefault="00E1566B" w:rsidP="00354E28">
      <w:pPr>
        <w:pStyle w:val="Odsekzoznamu"/>
        <w:numPr>
          <w:ilvl w:val="0"/>
          <w:numId w:val="1"/>
        </w:numPr>
        <w:spacing w:before="80" w:after="80" w:line="290" w:lineRule="auto"/>
        <w:ind w:left="567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Pre potreby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k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omplexných skúšok zabezpečí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bjednávateľ na základe výzvy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odávateľa v zmysle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bodu 7.2 tejto Zmluvy (zmluvy o dielo):</w:t>
      </w:r>
    </w:p>
    <w:p w:rsidR="00C82466" w:rsidRDefault="00C82466" w:rsidP="00354E28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energie potrebné na prevádzku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>iela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A061E0" w:rsidRPr="00A061E0" w:rsidRDefault="00E1566B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materiál (obilie) potrebné na odskúšanie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iela v minimálnom množstve </w:t>
      </w:r>
      <w:r w:rsidR="00C82466" w:rsidRPr="00354E28">
        <w:rPr>
          <w:rFonts w:ascii="Arial" w:eastAsia="Times New Roman" w:hAnsi="Arial" w:cs="Arial"/>
          <w:sz w:val="20"/>
          <w:szCs w:val="20"/>
          <w:lang w:eastAsia="sk-SK"/>
        </w:rPr>
        <w:t>10</w:t>
      </w:r>
      <w:r w:rsidR="009E14E8" w:rsidRPr="00354E28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A061E0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E1566B" w:rsidRDefault="00A061E0" w:rsidP="00354E28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</w:t>
      </w:r>
      <w:r w:rsidR="00E1566B"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agóny </w:t>
      </w:r>
      <w:r>
        <w:rPr>
          <w:rFonts w:ascii="Arial" w:eastAsia="Times New Roman" w:hAnsi="Arial" w:cs="Arial"/>
          <w:sz w:val="20"/>
          <w:szCs w:val="20"/>
          <w:lang w:eastAsia="sk-SK"/>
        </w:rPr>
        <w:t>ukrajinského (východného) typu,</w:t>
      </w:r>
      <w:r w:rsidR="00E1566B"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 z ktorých bude obilie vyskladnené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</w:p>
    <w:p w:rsidR="00E1566B" w:rsidRPr="00354E28" w:rsidRDefault="00E1566B" w:rsidP="00354E28">
      <w:pPr>
        <w:pStyle w:val="Odsekzoznamu"/>
        <w:numPr>
          <w:ilvl w:val="1"/>
          <w:numId w:val="1"/>
        </w:numPr>
        <w:spacing w:before="80" w:after="80" w:line="29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061E0">
        <w:rPr>
          <w:rFonts w:ascii="Arial" w:eastAsia="Times New Roman" w:hAnsi="Arial" w:cs="Arial"/>
          <w:sz w:val="20"/>
          <w:szCs w:val="20"/>
          <w:lang w:eastAsia="sk-SK"/>
        </w:rPr>
        <w:t>vagóny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 xml:space="preserve"> európskeho typu,</w:t>
      </w:r>
      <w:r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 do ktorých bude obilie</w:t>
      </w:r>
      <w:r w:rsidR="009D6E0A"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 vyskladnené</w:t>
      </w:r>
      <w:r w:rsidR="00C82466" w:rsidRPr="00A061E0">
        <w:rPr>
          <w:rFonts w:ascii="Arial" w:eastAsia="Times New Roman" w:hAnsi="Arial" w:cs="Arial"/>
          <w:sz w:val="20"/>
          <w:szCs w:val="20"/>
          <w:lang w:eastAsia="sk-SK"/>
        </w:rPr>
        <w:t>, minimálne však 600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82466" w:rsidRPr="00354E28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E1566B" w:rsidRPr="00354E28" w:rsidRDefault="00E1566B" w:rsidP="00354E28">
      <w:pPr>
        <w:spacing w:before="160" w:after="160" w:line="29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b/>
          <w:sz w:val="20"/>
          <w:szCs w:val="20"/>
          <w:lang w:eastAsia="sk-SK"/>
        </w:rPr>
        <w:t>Priebeh skúšok:</w:t>
      </w:r>
    </w:p>
    <w:p w:rsidR="00916021" w:rsidRPr="005B7ADA" w:rsidRDefault="00916021" w:rsidP="00354E28">
      <w:pPr>
        <w:spacing w:before="80" w:after="80" w:line="29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>Individuálne skúšky:</w:t>
      </w:r>
    </w:p>
    <w:p w:rsidR="00E1566B" w:rsidRDefault="00E1566B" w:rsidP="00A061E0">
      <w:pPr>
        <w:pStyle w:val="Odsekzoznamu"/>
        <w:numPr>
          <w:ilvl w:val="0"/>
          <w:numId w:val="4"/>
        </w:numPr>
        <w:spacing w:before="80" w:after="80" w:line="290" w:lineRule="auto"/>
        <w:ind w:left="567" w:hanging="567"/>
        <w:contextualSpacing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>Dodávateľ postupne zapne a odskúša jednotlivé stroje z miesta postupne proti smeru linky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E1566B" w:rsidRPr="00A061E0" w:rsidRDefault="00E1566B" w:rsidP="00A061E0">
      <w:pPr>
        <w:pStyle w:val="Odsekzoznamu"/>
        <w:numPr>
          <w:ilvl w:val="0"/>
          <w:numId w:val="4"/>
        </w:numPr>
        <w:spacing w:before="80" w:after="80" w:line="290" w:lineRule="auto"/>
        <w:ind w:left="567" w:hanging="567"/>
        <w:contextualSpacing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Pri tomto kroku opätovne 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A061E0">
        <w:rPr>
          <w:rFonts w:ascii="Arial" w:eastAsia="Times New Roman" w:hAnsi="Arial" w:cs="Arial"/>
          <w:sz w:val="20"/>
          <w:szCs w:val="20"/>
          <w:lang w:eastAsia="sk-SK"/>
        </w:rPr>
        <w:t>odávateľ kontroluje správny smer otáčania strojov, odber prúdu jednotlivých strojov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A061E0">
        <w:rPr>
          <w:rFonts w:ascii="Arial" w:eastAsia="Times New Roman" w:hAnsi="Arial" w:cs="Arial"/>
          <w:sz w:val="20"/>
          <w:szCs w:val="20"/>
          <w:lang w:eastAsia="sk-SK"/>
        </w:rPr>
        <w:t xml:space="preserve"> stav a funkciu koncových spínačov</w:t>
      </w:r>
      <w:r w:rsidR="00A061E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916021" w:rsidRPr="005B7ADA" w:rsidRDefault="00916021" w:rsidP="00354E28">
      <w:pPr>
        <w:spacing w:before="160" w:after="80" w:line="29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>Komplexné skúšky:</w:t>
      </w:r>
    </w:p>
    <w:p w:rsidR="00E1566B" w:rsidRDefault="00E1566B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>Dodávateľ spustí linku bez materiálu v celku postupne proti smeru technologického toku materiálu po 10 min. linku vypne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BE0B16" w:rsidRPr="00354E28" w:rsidRDefault="00E1566B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>Dodávateľ pustí linku bez materiálu v automatickom režime na 30 min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E1566B" w:rsidRDefault="00BE0B16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E1566B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 vypnutí linky </w:t>
      </w:r>
      <w:r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E1566B" w:rsidRPr="00354E28">
        <w:rPr>
          <w:rFonts w:ascii="Arial" w:eastAsia="Times New Roman" w:hAnsi="Arial" w:cs="Arial"/>
          <w:sz w:val="20"/>
          <w:szCs w:val="20"/>
          <w:lang w:eastAsia="sk-SK"/>
        </w:rPr>
        <w:t>odávateľ prekontroluje napnutie reťazí a gurtní v jednotlivých strojoch a podoťahuje jednotlivé spoje a uzatvorenie jednotlivých výpadov pod reťazovými dopravníkmi a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E1566B" w:rsidRPr="00354E28">
        <w:rPr>
          <w:rFonts w:ascii="Arial" w:eastAsia="Times New Roman" w:hAnsi="Arial" w:cs="Arial"/>
          <w:sz w:val="20"/>
          <w:szCs w:val="20"/>
          <w:lang w:eastAsia="sk-SK"/>
        </w:rPr>
        <w:t>silami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BE0B16" w:rsidRPr="00354E28" w:rsidRDefault="00BE0B16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E1566B" w:rsidRPr="00354E28">
        <w:rPr>
          <w:rFonts w:ascii="Arial" w:eastAsia="Times New Roman" w:hAnsi="Arial" w:cs="Arial"/>
          <w:sz w:val="20"/>
          <w:szCs w:val="20"/>
          <w:lang w:eastAsia="sk-SK"/>
        </w:rPr>
        <w:t>o opätovnom zapnutí linky bez materiálu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Dodávateľ</w:t>
      </w:r>
      <w:r w:rsidR="00E1566B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nasimuluje poruchu a prekontroluje reakciu systému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E1566B" w:rsidRDefault="00E1566B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Objednávateľ pristaví vagón 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na násypný kôš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pričom 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>odávateľ kontroluje funkciu centrovania vagónu nad násypným košom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BE0B16" w:rsidRPr="00354E28" w:rsidRDefault="00E1566B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Objednávateľ pristaví vagóny 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európskeho typu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pod expedičný reťazový dopravník, pričom 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>odávateľ kontroluje funkciu centrovania vagónu pod expedičný reťazový dopravník</w:t>
      </w:r>
      <w:r w:rsidR="00A24F0C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(</w:t>
      </w:r>
      <w:r w:rsidR="00C82466" w:rsidRPr="00354E28">
        <w:rPr>
          <w:rFonts w:ascii="Arial" w:eastAsia="Times New Roman" w:hAnsi="Arial" w:cs="Arial"/>
          <w:sz w:val="20"/>
          <w:szCs w:val="20"/>
          <w:lang w:eastAsia="sk-SK"/>
        </w:rPr>
        <w:t>2.13</w:t>
      </w:r>
      <w:r w:rsidR="00A24F0C" w:rsidRPr="00354E28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BE0B16" w:rsidRPr="00354E28" w:rsidRDefault="008062FE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Objednávateľ otvorí vagón 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a Dodávateľ zapne vyskladňovacie reťazové dopravníky v násypnom koši (1.1, 1.2), korečkový elevátor (1.4) a prietočnú váhu (1.5), reťazové dopravníky pod silom (1.6 a 1.8), korečkový elevátor (2.1), naskladňovacie reťazové dopravníky (1.17 a 1.18) a otvorí výpad (č.T5.1)</w:t>
      </w:r>
      <w:r w:rsidR="00BE0B1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7C5D38" w:rsidRDefault="00BE0B16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 vyskladnení a odvážení 200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t z vagónov </w:t>
      </w:r>
      <w:r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C5D38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odávateľ zavrie výpad (T5.1) pod naskladňovacím reťazovým dopravníkom a otvorí výpad (T5.2)</w:t>
      </w:r>
      <w:r w:rsidR="007C5D38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7C5D38" w:rsidRDefault="007C5D38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 vyskladnení a odvážení 200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t z vagónov </w:t>
      </w:r>
      <w:r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odávateľ zavrie výpad (T5.2) pod naskladňovacím reťazovým dopravníkom a otvorí výpad (T5.3)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7C5D38" w:rsidRDefault="007C5D38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 vyskladnení a odvážení 200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t z vagónov </w:t>
      </w:r>
      <w:r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odávateľ zavrie výpad (T5.3) pod naskladňovacím reťazovým dopravníkom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705BCA" w:rsidRDefault="007C5D38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>p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 vyskladnení a odvážení 200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t z vagónov 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odávateľ prepne klapku (2.2) do polohy vyskladňovanie,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otvorí </w:t>
      </w:r>
      <w:proofErr w:type="spellStart"/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šúber</w:t>
      </w:r>
      <w:proofErr w:type="spellEnd"/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(T17) pod vyrovnávacím zásobníkom, zapne reťazový dopravník (2.5), prietočnú váhu (2.6), korečkový elevátor (2.7), prepojovací reťazový dopravník (2.11) a </w:t>
      </w:r>
      <w:proofErr w:type="spellStart"/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vyskladňovací</w:t>
      </w:r>
      <w:proofErr w:type="spellEnd"/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most (2.13)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uvedie do pohybu naskladňovací mechanizmus mosta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8062FE" w:rsidRDefault="00705BCA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 vyskladnení 1000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t z vagónov </w:t>
      </w:r>
      <w:r>
        <w:rPr>
          <w:rFonts w:ascii="Arial" w:eastAsia="Times New Roman" w:hAnsi="Arial" w:cs="Arial"/>
          <w:sz w:val="20"/>
          <w:szCs w:val="20"/>
          <w:lang w:eastAsia="sk-SK"/>
        </w:rPr>
        <w:t>ukrajinského (východného) typu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zapne </w:t>
      </w:r>
      <w:r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odávateľ reťazový dopravník (T8) pod silami a otvorí výpad pod silom (č. 1 T9.1)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Po skončení vyskladňovania samospádom, zapne vyskladňovací obehový závitovkový dopravník (1.16) a vyprázdni silo č.1.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8062FE" w:rsidRDefault="00705BCA" w:rsidP="00354E28">
      <w:pPr>
        <w:pStyle w:val="Odsekzoznamu"/>
        <w:numPr>
          <w:ilvl w:val="0"/>
          <w:numId w:val="5"/>
        </w:numPr>
        <w:spacing w:before="80" w:after="80" w:line="29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úto činnosť postupne zopakuje na silách 2, 3 a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>4</w:t>
      </w:r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8062FE" w:rsidRPr="00354E28">
        <w:rPr>
          <w:rFonts w:ascii="Arial" w:eastAsia="Times New Roman" w:hAnsi="Arial" w:cs="Arial"/>
          <w:sz w:val="20"/>
          <w:szCs w:val="20"/>
          <w:lang w:eastAsia="sk-SK"/>
        </w:rPr>
        <w:t xml:space="preserve"> a tým ukončí komplexné skúšky.</w:t>
      </w:r>
    </w:p>
    <w:p w:rsidR="00705BCA" w:rsidRDefault="00705BCA" w:rsidP="00354E28">
      <w:pPr>
        <w:spacing w:before="80" w:after="80" w:line="29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11D14" w:rsidRPr="005B7ADA" w:rsidRDefault="00E1566B" w:rsidP="00354E28">
      <w:pPr>
        <w:spacing w:before="80" w:after="80" w:line="290" w:lineRule="auto"/>
        <w:jc w:val="both"/>
        <w:rPr>
          <w:rFonts w:ascii="Arial" w:hAnsi="Arial" w:cs="Arial"/>
          <w:sz w:val="20"/>
          <w:szCs w:val="20"/>
        </w:rPr>
      </w:pPr>
      <w:r w:rsidRPr="005B7ADA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vykonaní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 xml:space="preserve"> individuálnych a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 xml:space="preserve"> komplexných skúšok 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 xml:space="preserve">budú vyhotovené protokoly. 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Komplexné skúšky neslúžia na dokladanie výkonu linky, len na jej funkčnosť.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Po ukončení komplexných skúšok (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p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 xml:space="preserve">o zaťažení) vykoná </w:t>
      </w:r>
      <w:r w:rsidR="00705BCA">
        <w:rPr>
          <w:rFonts w:ascii="Arial" w:eastAsia="Times New Roman" w:hAnsi="Arial" w:cs="Arial"/>
          <w:sz w:val="20"/>
          <w:szCs w:val="20"/>
          <w:lang w:eastAsia="sk-SK"/>
        </w:rPr>
        <w:t>D</w:t>
      </w:r>
      <w:r w:rsidRPr="005B7ADA">
        <w:rPr>
          <w:rFonts w:ascii="Arial" w:eastAsia="Times New Roman" w:hAnsi="Arial" w:cs="Arial"/>
          <w:sz w:val="20"/>
          <w:szCs w:val="20"/>
          <w:lang w:eastAsia="sk-SK"/>
        </w:rPr>
        <w:t>odávateľ opätovnú kontrolu a dotiahnutie spojov, napnutie reťazí a gurtní elevátorov.</w:t>
      </w:r>
    </w:p>
    <w:sectPr w:rsidR="00E11D14" w:rsidRPr="005B7ADA" w:rsidSect="00354E2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D41" w:rsidRDefault="00621D41" w:rsidP="00705BCA">
      <w:pPr>
        <w:spacing w:after="0" w:line="240" w:lineRule="auto"/>
      </w:pPr>
      <w:r>
        <w:separator/>
      </w:r>
    </w:p>
  </w:endnote>
  <w:endnote w:type="continuationSeparator" w:id="0">
    <w:p w:rsidR="00621D41" w:rsidRDefault="00621D41" w:rsidP="0070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97540063"/>
      <w:docPartObj>
        <w:docPartGallery w:val="Page Numbers (Bottom of Page)"/>
        <w:docPartUnique/>
      </w:docPartObj>
    </w:sdtPr>
    <w:sdtEndPr/>
    <w:sdtContent>
      <w:p w:rsidR="00705BCA" w:rsidRPr="00354E28" w:rsidRDefault="00705BCA" w:rsidP="00354E28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354E28">
          <w:rPr>
            <w:rFonts w:ascii="Arial" w:hAnsi="Arial" w:cs="Arial"/>
            <w:sz w:val="20"/>
            <w:szCs w:val="20"/>
          </w:rPr>
          <w:fldChar w:fldCharType="begin"/>
        </w:r>
        <w:r w:rsidRPr="00354E2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54E28">
          <w:rPr>
            <w:rFonts w:ascii="Arial" w:hAnsi="Arial" w:cs="Arial"/>
            <w:sz w:val="20"/>
            <w:szCs w:val="20"/>
          </w:rPr>
          <w:fldChar w:fldCharType="separate"/>
        </w:r>
        <w:r w:rsidR="00D06D11">
          <w:rPr>
            <w:rFonts w:ascii="Arial" w:hAnsi="Arial" w:cs="Arial"/>
            <w:noProof/>
            <w:sz w:val="20"/>
            <w:szCs w:val="20"/>
          </w:rPr>
          <w:t>2</w:t>
        </w:r>
        <w:r w:rsidRPr="00354E2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D41" w:rsidRDefault="00621D41" w:rsidP="00705BCA">
      <w:pPr>
        <w:spacing w:after="0" w:line="240" w:lineRule="auto"/>
      </w:pPr>
      <w:r>
        <w:separator/>
      </w:r>
    </w:p>
  </w:footnote>
  <w:footnote w:type="continuationSeparator" w:id="0">
    <w:p w:rsidR="00621D41" w:rsidRDefault="00621D41" w:rsidP="0070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F8F"/>
    <w:multiLevelType w:val="hybridMultilevel"/>
    <w:tmpl w:val="6F6AB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A42"/>
    <w:multiLevelType w:val="hybridMultilevel"/>
    <w:tmpl w:val="6F6AB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F4FAD"/>
    <w:multiLevelType w:val="hybridMultilevel"/>
    <w:tmpl w:val="FB84C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047A"/>
    <w:multiLevelType w:val="hybridMultilevel"/>
    <w:tmpl w:val="531A5DD8"/>
    <w:lvl w:ilvl="0" w:tplc="B59A8A3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E0615D"/>
    <w:multiLevelType w:val="hybridMultilevel"/>
    <w:tmpl w:val="35323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800054">
    <w:abstractNumId w:val="4"/>
  </w:num>
  <w:num w:numId="2" w16cid:durableId="450246916">
    <w:abstractNumId w:val="3"/>
  </w:num>
  <w:num w:numId="3" w16cid:durableId="1729450507">
    <w:abstractNumId w:val="2"/>
  </w:num>
  <w:num w:numId="4" w16cid:durableId="11953102">
    <w:abstractNumId w:val="1"/>
  </w:num>
  <w:num w:numId="5" w16cid:durableId="12001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6B"/>
    <w:rsid w:val="0028356F"/>
    <w:rsid w:val="002A55FD"/>
    <w:rsid w:val="002B0BAA"/>
    <w:rsid w:val="002B3104"/>
    <w:rsid w:val="00354E28"/>
    <w:rsid w:val="00373009"/>
    <w:rsid w:val="003D1CF5"/>
    <w:rsid w:val="004B59B3"/>
    <w:rsid w:val="0052108D"/>
    <w:rsid w:val="00583C0F"/>
    <w:rsid w:val="00595F77"/>
    <w:rsid w:val="005B7ADA"/>
    <w:rsid w:val="00621D41"/>
    <w:rsid w:val="00705BCA"/>
    <w:rsid w:val="007C5D38"/>
    <w:rsid w:val="008062FE"/>
    <w:rsid w:val="0086578B"/>
    <w:rsid w:val="00916021"/>
    <w:rsid w:val="00997B1A"/>
    <w:rsid w:val="009D6E0A"/>
    <w:rsid w:val="009E14E8"/>
    <w:rsid w:val="00A061E0"/>
    <w:rsid w:val="00A10ADE"/>
    <w:rsid w:val="00A24F0C"/>
    <w:rsid w:val="00A4312E"/>
    <w:rsid w:val="00B0669B"/>
    <w:rsid w:val="00BE0B16"/>
    <w:rsid w:val="00C82466"/>
    <w:rsid w:val="00D06D11"/>
    <w:rsid w:val="00E11D14"/>
    <w:rsid w:val="00E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87028-1B0F-0B4A-8ED2-FA3F5F7A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35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B7A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6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578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70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05BCA"/>
  </w:style>
  <w:style w:type="paragraph" w:styleId="Pta">
    <w:name w:val="footer"/>
    <w:basedOn w:val="Normlny"/>
    <w:link w:val="PtaChar"/>
    <w:uiPriority w:val="99"/>
    <w:unhideWhenUsed/>
    <w:rsid w:val="0070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5BCA"/>
  </w:style>
  <w:style w:type="paragraph" w:styleId="Revzia">
    <w:name w:val="Revision"/>
    <w:hidden/>
    <w:uiPriority w:val="99"/>
    <w:semiHidden/>
    <w:rsid w:val="00354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Nadlice</dc:creator>
  <cp:lastModifiedBy>P. Toporcer Zavacká</cp:lastModifiedBy>
  <cp:revision>15</cp:revision>
  <dcterms:created xsi:type="dcterms:W3CDTF">2023-01-27T12:01:00Z</dcterms:created>
  <dcterms:modified xsi:type="dcterms:W3CDTF">2023-04-28T11:30:00Z</dcterms:modified>
</cp:coreProperties>
</file>