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7AA3BA1E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B2472B" w:rsidRPr="00B2472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 motorových vozidiel</w:t>
      </w:r>
      <w:r w:rsidRPr="0013472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 w:rsidR="00265232" w:rsidRPr="00265232">
        <w:rPr>
          <w:b/>
          <w:sz w:val="22"/>
          <w:szCs w:val="22"/>
        </w:rPr>
        <w:t xml:space="preserve">časť/časti  č. </w:t>
      </w:r>
      <w:r w:rsidR="00625321" w:rsidRPr="00625321">
        <w:rPr>
          <w:b/>
          <w:color w:val="FF0000"/>
          <w:sz w:val="22"/>
          <w:szCs w:val="22"/>
        </w:rPr>
        <w:t xml:space="preserve">č. </w:t>
      </w:r>
      <w:r w:rsidRPr="00625321">
        <w:rPr>
          <w:b/>
          <w:color w:val="FF0000"/>
          <w:sz w:val="22"/>
          <w:szCs w:val="22"/>
        </w:rPr>
        <w:t>DOPLNI</w:t>
      </w:r>
      <w:r w:rsidR="00625321" w:rsidRPr="00625321">
        <w:rPr>
          <w:b/>
          <w:color w:val="FF0000"/>
          <w:sz w:val="22"/>
          <w:szCs w:val="22"/>
        </w:rPr>
        <w:t>Ť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E4C67"/>
    <w:rsid w:val="004A54A8"/>
    <w:rsid w:val="004B7D5B"/>
    <w:rsid w:val="004C1AEC"/>
    <w:rsid w:val="00515442"/>
    <w:rsid w:val="00526D12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31</cp:revision>
  <dcterms:created xsi:type="dcterms:W3CDTF">2021-09-02T14:47:00Z</dcterms:created>
  <dcterms:modified xsi:type="dcterms:W3CDTF">2023-06-14T10:20:00Z</dcterms:modified>
</cp:coreProperties>
</file>