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D578" w14:textId="77777777" w:rsidR="008F2EA0" w:rsidRPr="008F2EA0" w:rsidRDefault="008F2EA0">
      <w:pPr>
        <w:rPr>
          <w:rFonts w:ascii="Arial" w:hAnsi="Arial" w:cs="Arial"/>
          <w:lang w:val="sk-SK"/>
        </w:rPr>
      </w:pPr>
    </w:p>
    <w:p w14:paraId="019D49B2" w14:textId="094B2DEB" w:rsidR="004C467C" w:rsidRPr="00A5296F" w:rsidRDefault="0011641B" w:rsidP="00A5296F">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p>
    <w:p w14:paraId="25272565" w14:textId="77777777" w:rsidR="00A77776" w:rsidRDefault="00A77776" w:rsidP="00080327">
      <w:pPr>
        <w:rPr>
          <w:rFonts w:ascii="Arial" w:hAnsi="Arial" w:cs="Arial"/>
          <w:b/>
          <w:bCs/>
          <w:lang w:val="sk-SK"/>
        </w:rPr>
      </w:pPr>
    </w:p>
    <w:p w14:paraId="242D4DBD" w14:textId="6C7D7CBC" w:rsidR="0011641B" w:rsidRPr="00080327" w:rsidRDefault="0011641B" w:rsidP="00080327">
      <w:pPr>
        <w:rPr>
          <w:rFonts w:ascii="Arial" w:hAnsi="Arial" w:cs="Arial"/>
          <w:b/>
          <w:bCs/>
          <w:lang w:val="sk-SK"/>
        </w:rPr>
      </w:pPr>
      <w:r w:rsidRPr="00080327">
        <w:rPr>
          <w:rFonts w:ascii="Arial" w:hAnsi="Arial" w:cs="Arial"/>
          <w:b/>
          <w:bCs/>
          <w:lang w:val="sk-SK"/>
        </w:rPr>
        <w:t>Havarijné poistenie vozidiel</w:t>
      </w:r>
    </w:p>
    <w:p w14:paraId="7BE8DA1D" w14:textId="77777777" w:rsidR="0011641B" w:rsidRPr="0011641B" w:rsidRDefault="0011641B" w:rsidP="00CC4B97">
      <w:pPr>
        <w:numPr>
          <w:ilvl w:val="0"/>
          <w:numId w:val="22"/>
        </w:numPr>
        <w:ind w:left="426"/>
        <w:rPr>
          <w:rFonts w:ascii="Arial" w:hAnsi="Arial" w:cs="Arial"/>
          <w:b/>
          <w:lang w:val="sk-SK"/>
        </w:rPr>
      </w:pPr>
      <w:bookmarkStart w:id="0" w:name="_Hlk132619634"/>
      <w:r w:rsidRPr="0011641B">
        <w:rPr>
          <w:rFonts w:ascii="Arial" w:hAnsi="Arial" w:cs="Arial"/>
          <w:b/>
          <w:lang w:val="sk-SK"/>
        </w:rPr>
        <w:t>Predmet poistenia</w:t>
      </w:r>
    </w:p>
    <w:p w14:paraId="2F04897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Predmetom poistenia je havarijné poistenie súboru motorových a prípojných vozidiel:</w:t>
      </w:r>
    </w:p>
    <w:p w14:paraId="5C1A68AE"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ktoré sú vo vlastníctve obstarávateľskej organizácie;</w:t>
      </w:r>
    </w:p>
    <w:p w14:paraId="7C2EBBDD"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14:paraId="27EA19A1" w14:textId="446F6C6C" w:rsidR="0011641B" w:rsidRDefault="0CAC6D43" w:rsidP="0CAC6D43">
      <w:pPr>
        <w:jc w:val="both"/>
        <w:rPr>
          <w:rFonts w:ascii="Arial" w:hAnsi="Arial" w:cs="Arial"/>
          <w:lang w:val="sk-SK"/>
        </w:rPr>
      </w:pPr>
      <w:r w:rsidRPr="0CAC6D43">
        <w:rPr>
          <w:rFonts w:ascii="Arial" w:hAnsi="Arial" w:cs="Arial"/>
          <w:lang w:val="sk-SK"/>
        </w:rPr>
        <w:t>Zoznam vozidiel tvorí samostatnú časť týchto súťažných podkladov. Obstarávateľská organizácia  si vyhradzuje právo aktualizovať uvedený zoznam v závislosti od stavu vozidiel, v čase bezprostredne pred začiatkom účinnosti poistnej zmluvy.</w:t>
      </w:r>
    </w:p>
    <w:p w14:paraId="313A845A" w14:textId="77777777" w:rsidR="00C138F6" w:rsidRPr="0011641B" w:rsidRDefault="00C138F6" w:rsidP="0058013C">
      <w:pPr>
        <w:jc w:val="both"/>
        <w:rPr>
          <w:rFonts w:ascii="Arial" w:hAnsi="Arial" w:cs="Arial"/>
          <w:lang w:val="sk-SK"/>
        </w:rPr>
      </w:pPr>
    </w:p>
    <w:bookmarkEnd w:id="0"/>
    <w:p w14:paraId="4CB0BE7B"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Rozsah poistenia</w:t>
      </w:r>
    </w:p>
    <w:p w14:paraId="338864C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Požadovaný minimálny rozsah poistenia:</w:t>
      </w:r>
    </w:p>
    <w:p w14:paraId="128EF5F2"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havárie a stretu;</w:t>
      </w:r>
    </w:p>
    <w:p w14:paraId="117DFB9D"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odcudzenie celého vozidla alebo jeho častí;</w:t>
      </w:r>
    </w:p>
    <w:p w14:paraId="292A8071"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živelnej udalosti;</w:t>
      </w:r>
    </w:p>
    <w:p w14:paraId="4D736379" w14:textId="34ADC467" w:rsidR="00CA177F" w:rsidRDefault="0011641B" w:rsidP="0050116D">
      <w:pPr>
        <w:numPr>
          <w:ilvl w:val="0"/>
          <w:numId w:val="10"/>
        </w:numPr>
        <w:rPr>
          <w:rFonts w:ascii="Arial" w:hAnsi="Arial" w:cs="Arial"/>
          <w:lang w:val="sk-SK"/>
        </w:rPr>
      </w:pPr>
      <w:r w:rsidRPr="0011641B">
        <w:rPr>
          <w:rFonts w:ascii="Arial" w:hAnsi="Arial" w:cs="Arial"/>
          <w:lang w:val="sk-SK"/>
        </w:rPr>
        <w:t xml:space="preserve">úmyselné poškodenie alebo zničenie vozidla </w:t>
      </w:r>
      <w:r w:rsidR="0058013C">
        <w:rPr>
          <w:rFonts w:ascii="Arial" w:hAnsi="Arial" w:cs="Arial"/>
          <w:lang w:val="sk-SK"/>
        </w:rPr>
        <w:t>–</w:t>
      </w:r>
      <w:r w:rsidRPr="0011641B">
        <w:rPr>
          <w:rFonts w:ascii="Arial" w:hAnsi="Arial" w:cs="Arial"/>
          <w:lang w:val="sk-SK"/>
        </w:rPr>
        <w:t xml:space="preserve"> vandalizmus</w:t>
      </w:r>
      <w:r w:rsidR="0058013C">
        <w:rPr>
          <w:rFonts w:ascii="Arial" w:hAnsi="Arial" w:cs="Arial"/>
          <w:lang w:val="sk-SK"/>
        </w:rPr>
        <w:t>.</w:t>
      </w:r>
    </w:p>
    <w:p w14:paraId="0933A034" w14:textId="77777777" w:rsidR="0050116D" w:rsidRPr="0050116D" w:rsidRDefault="0050116D" w:rsidP="0CAC6D43">
      <w:pPr>
        <w:rPr>
          <w:rFonts w:ascii="Arial" w:hAnsi="Arial" w:cs="Arial"/>
          <w:lang w:val="sk-SK"/>
        </w:rPr>
      </w:pPr>
    </w:p>
    <w:p w14:paraId="7B1F30C1" w14:textId="77777777" w:rsidR="00C138F6" w:rsidRPr="00C138F6" w:rsidRDefault="00C138F6" w:rsidP="00C138F6">
      <w:pPr>
        <w:ind w:left="1200"/>
        <w:rPr>
          <w:rFonts w:ascii="Arial" w:hAnsi="Arial" w:cs="Arial"/>
          <w:lang w:val="sk-SK"/>
        </w:rPr>
      </w:pPr>
    </w:p>
    <w:p w14:paraId="08CACE89"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14:paraId="676217E9" w14:textId="77777777" w:rsidR="0011641B" w:rsidRPr="0011641B" w:rsidRDefault="0011641B" w:rsidP="0CAC6D43">
      <w:pPr>
        <w:rPr>
          <w:rFonts w:ascii="Arial" w:hAnsi="Arial" w:cs="Arial"/>
          <w:b/>
          <w:bCs/>
        </w:rPr>
      </w:pPr>
    </w:p>
    <w:p w14:paraId="393C440D"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CAC6D43">
        <w:rPr>
          <w:rFonts w:ascii="Arial" w:hAnsi="Arial" w:cs="Arial"/>
          <w:lang w:val="sk-SK"/>
        </w:rPr>
        <w:t>zozname vozidiel, ktorý tvorí samostatnú časť týchto súťažných podkladov</w:t>
      </w:r>
      <w:r w:rsidRPr="0CAC6D43">
        <w:rPr>
          <w:rFonts w:ascii="Arial" w:hAnsi="Arial" w:cs="Arial"/>
          <w:lang w:val="pl-PL"/>
        </w:rPr>
        <w:t>;</w:t>
      </w:r>
    </w:p>
    <w:p w14:paraId="580B6A9B"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poistné sadzby pre výpočet poistného sú záväzné a nemenné počas celej doby trvania poistenia;</w:t>
      </w:r>
    </w:p>
    <w:p w14:paraId="4905ABE0" w14:textId="04B1E608"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 xml:space="preserve">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w:t>
      </w:r>
      <w:r w:rsidRPr="0CAC6D43">
        <w:rPr>
          <w:rFonts w:ascii="Arial" w:hAnsi="Arial" w:cs="Arial"/>
          <w:lang w:val="pl-PL"/>
        </w:rPr>
        <w:lastRenderedPageBreak/>
        <w:t>vozidiel sa nebude považovať za podstatnú zmenu zmluvy, ktorá by vyžadovala jej úpravu vo forme písomného dodatku k poistnej zmluve;</w:t>
      </w:r>
    </w:p>
    <w:p w14:paraId="047BB67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poistné bude hradené bezhotovostným platobným stykom v ročných splátkach. Uchádzač vykoná predpis poistného (avízo, vyúčtovanie), ktorý musí obsahovať zoznam poistených vozidiel s vyčíslením poistného pre dané poistné obdobie;</w:t>
      </w:r>
    </w:p>
    <w:p w14:paraId="1912FA1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splatnosť poistného bude 30 dní odo dňa, kedy bude obstarávateľskej organizácii doručený predpis na úhradu. Táto lehota sa týka tak pravidelných ročných predpisov, ako aj predpisov na úhradu alikvótneho poistného, v prípade zaradenia ďalšieho vozidla do poistenia;</w:t>
      </w:r>
    </w:p>
    <w:p w14:paraId="665BB538" w14:textId="77777777" w:rsidR="0011641B" w:rsidRPr="0011641B" w:rsidRDefault="0011641B" w:rsidP="0011641B">
      <w:pPr>
        <w:numPr>
          <w:ilvl w:val="0"/>
          <w:numId w:val="12"/>
        </w:numPr>
        <w:rPr>
          <w:rFonts w:ascii="Arial" w:hAnsi="Arial" w:cs="Arial"/>
          <w:lang w:val="pl-PL"/>
        </w:rPr>
      </w:pPr>
      <w:r w:rsidRPr="0011641B">
        <w:rPr>
          <w:rFonts w:ascii="Arial" w:hAnsi="Arial" w:cs="Arial"/>
          <w:lang w:val="sk-SK"/>
        </w:rPr>
        <w:t>maximálna sadzba za jednu odpracovanú normohodinu (</w:t>
      </w:r>
      <w:proofErr w:type="spellStart"/>
      <w:r w:rsidRPr="0011641B">
        <w:rPr>
          <w:rFonts w:ascii="Arial" w:hAnsi="Arial" w:cs="Arial"/>
          <w:lang w:val="sk-SK"/>
        </w:rPr>
        <w:t>Nh</w:t>
      </w:r>
      <w:proofErr w:type="spellEnd"/>
      <w:r w:rsidRPr="0011641B">
        <w:rPr>
          <w:rFonts w:ascii="Arial" w:hAnsi="Arial" w:cs="Arial"/>
          <w:lang w:val="sk-SK"/>
        </w:rPr>
        <w:t>) v servise:</w:t>
      </w:r>
    </w:p>
    <w:p w14:paraId="674406AC"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autorizovaným opravcom, to budú sadzby, ktoré takýto opravca v danom regióne štandardne účtuje pre konkrétny druh prác, značku a typ vozidla;</w:t>
      </w:r>
    </w:p>
    <w:p w14:paraId="37C0F2D0" w14:textId="405D7FC9"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neautorizovaným opravcom, to budú sadzby, ktoré takýto opravca v danom regióne štandardne účtuje pre konkrétny druh prác, značku a typ vozidla, maximálne však prieme</w:t>
      </w:r>
      <w:r w:rsidR="0022067A">
        <w:rPr>
          <w:rFonts w:ascii="Arial" w:hAnsi="Arial" w:cs="Arial"/>
          <w:lang w:val="sk-SK"/>
        </w:rPr>
        <w:t>r</w:t>
      </w:r>
      <w:r w:rsidRPr="0011641B">
        <w:rPr>
          <w:rFonts w:ascii="Arial" w:hAnsi="Arial" w:cs="Arial"/>
          <w:lang w:val="sk-SK"/>
        </w:rPr>
        <w:t xml:space="preserve">ná sadzba, ktorú pre konkrétnu značku a typ vozidla </w:t>
      </w:r>
      <w:r w:rsidR="0022067A" w:rsidRPr="0011641B">
        <w:rPr>
          <w:rFonts w:ascii="Arial" w:hAnsi="Arial" w:cs="Arial"/>
          <w:lang w:val="sk-SK"/>
        </w:rPr>
        <w:t>používaj</w:t>
      </w:r>
      <w:r w:rsidR="0022067A">
        <w:rPr>
          <w:rFonts w:ascii="Arial" w:hAnsi="Arial" w:cs="Arial"/>
          <w:lang w:val="sk-SK"/>
        </w:rPr>
        <w:t>ú</w:t>
      </w:r>
      <w:r w:rsidR="0022067A" w:rsidRPr="0011641B">
        <w:rPr>
          <w:rFonts w:ascii="Arial" w:hAnsi="Arial" w:cs="Arial"/>
          <w:lang w:val="sk-SK"/>
        </w:rPr>
        <w:t xml:space="preserve"> </w:t>
      </w:r>
      <w:r w:rsidRPr="0011641B">
        <w:rPr>
          <w:rFonts w:ascii="Arial" w:hAnsi="Arial" w:cs="Arial"/>
          <w:lang w:val="sk-SK"/>
        </w:rPr>
        <w:t>autorizovaní opravcovia v regióne;</w:t>
      </w:r>
    </w:p>
    <w:p w14:paraId="002FF8D9"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 xml:space="preserve">v prípade opravy, vykonanej zmluvným opravcom uchádzača, to budú sadzby, ktoré má takýto opravca zmluvne dohodnuté s uchádzačom; </w:t>
      </w:r>
    </w:p>
    <w:p w14:paraId="4B6A43CB"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 xml:space="preserve">v prípade opravy, vykonanej vo vlastných dielňach verejného obstarávateľa, to budú sadzby, v zmysle interného cenníka verejného obstarávateľa; </w:t>
      </w:r>
    </w:p>
    <w:p w14:paraId="46B7ADF8" w14:textId="77777777" w:rsidR="0011641B" w:rsidRPr="0011641B" w:rsidRDefault="0011641B" w:rsidP="0011641B">
      <w:pPr>
        <w:numPr>
          <w:ilvl w:val="0"/>
          <w:numId w:val="12"/>
        </w:numPr>
        <w:rPr>
          <w:rFonts w:ascii="Arial" w:hAnsi="Arial" w:cs="Arial"/>
          <w:lang w:val="sk-SK"/>
        </w:rPr>
      </w:pPr>
      <w:r w:rsidRPr="0011641B">
        <w:rPr>
          <w:rFonts w:ascii="Arial" w:hAnsi="Arial" w:cs="Arial"/>
          <w:lang w:val="sk-SK"/>
        </w:rPr>
        <w:t>totálnou škodou sa rozumie:</w:t>
      </w:r>
    </w:p>
    <w:p w14:paraId="0F99E88D" w14:textId="436A7D6D"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ktorej predpokladané (kalkulované) náklady na opravu sú vyššie, ako 9</w:t>
      </w:r>
      <w:r w:rsidR="009936E4">
        <w:rPr>
          <w:rFonts w:ascii="Arial" w:hAnsi="Arial" w:cs="Arial"/>
          <w:lang w:val="sk-SK"/>
        </w:rPr>
        <w:t>5</w:t>
      </w:r>
      <w:r w:rsidRPr="0011641B">
        <w:rPr>
          <w:rFonts w:ascii="Arial" w:hAnsi="Arial" w:cs="Arial"/>
          <w:lang w:val="sk-SK"/>
        </w:rPr>
        <w:t>% všeobecnej hodnoty vozidla v čase vzniku škody;</w:t>
      </w:r>
    </w:p>
    <w:p w14:paraId="1E7B1A74" w14:textId="77777777"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spôsobená odcudzením vozidla;</w:t>
      </w:r>
    </w:p>
    <w:p w14:paraId="73B29493" w14:textId="1BDBCD78" w:rsidR="0011641B" w:rsidRPr="0011641B" w:rsidRDefault="5467A432" w:rsidP="0058013C">
      <w:pPr>
        <w:numPr>
          <w:ilvl w:val="0"/>
          <w:numId w:val="12"/>
        </w:numPr>
        <w:jc w:val="both"/>
        <w:rPr>
          <w:rFonts w:ascii="Arial" w:hAnsi="Arial" w:cs="Arial"/>
          <w:lang w:val="sk-SK"/>
        </w:rPr>
      </w:pPr>
      <w:r w:rsidRPr="5467A432">
        <w:rPr>
          <w:rFonts w:ascii="Arial" w:hAnsi="Arial" w:cs="Arial"/>
          <w:lang w:val="sk-SK"/>
        </w:rPr>
        <w:t xml:space="preserve">parciálnou škodou je každá škoda, okrem škôd, uvedených v ods. </w:t>
      </w:r>
      <w:r w:rsidR="00642AD6">
        <w:rPr>
          <w:rFonts w:ascii="Arial" w:hAnsi="Arial" w:cs="Arial"/>
          <w:lang w:val="sk-SK"/>
        </w:rPr>
        <w:t>g)</w:t>
      </w:r>
    </w:p>
    <w:p w14:paraId="45983D17" w14:textId="00869BB4" w:rsidR="0011641B" w:rsidRDefault="0011641B" w:rsidP="0058013C">
      <w:pPr>
        <w:numPr>
          <w:ilvl w:val="0"/>
          <w:numId w:val="12"/>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14:paraId="7C6C64A2" w14:textId="3F5B9DE1" w:rsidR="0011641B" w:rsidRPr="0011641B" w:rsidRDefault="7D7B038E" w:rsidP="0058013C">
      <w:pPr>
        <w:numPr>
          <w:ilvl w:val="0"/>
          <w:numId w:val="12"/>
        </w:numPr>
        <w:jc w:val="both"/>
        <w:rPr>
          <w:rFonts w:ascii="Arial" w:hAnsi="Arial" w:cs="Arial"/>
          <w:lang w:val="sk-SK"/>
        </w:rPr>
      </w:pPr>
      <w:r w:rsidRPr="7D7B038E">
        <w:rPr>
          <w:rFonts w:ascii="Arial" w:hAnsi="Arial" w:cs="Arial"/>
          <w:lang w:val="sk-SK"/>
        </w:rPr>
        <w:t>súčasťou poistného plnenia sú aj náklady, súvisiace s transportom vozidla do 3,5 t k autorizovanému opravcovi, prípadne výrobcovi vozidla, za účelom vykonania opravy. Plnenie je podmienené súhlasom uchádzača s transportom vozidla, o ktorého udelenie musí obstarávateľská organizácia písomne požiadať;</w:t>
      </w:r>
    </w:p>
    <w:p w14:paraId="45906CD2" w14:textId="5CF5A2B5" w:rsidR="0CAC6D43" w:rsidRDefault="2ADE85EC" w:rsidP="0CAC6D43">
      <w:pPr>
        <w:numPr>
          <w:ilvl w:val="0"/>
          <w:numId w:val="12"/>
        </w:numPr>
        <w:jc w:val="both"/>
        <w:rPr>
          <w:rFonts w:ascii="Arial" w:hAnsi="Arial" w:cs="Arial"/>
          <w:lang w:val="sk-SK"/>
        </w:rPr>
      </w:pPr>
      <w:r w:rsidRPr="2ADE85EC">
        <w:rPr>
          <w:rFonts w:ascii="Arial" w:hAnsi="Arial" w:cs="Arial"/>
          <w:lang w:val="sk-SK"/>
        </w:rPr>
        <w:t>V rámci havarijného poistenia je kryté aj poistenie čelných skiel u osobných vozidiel s nulovou spoluúčasťou poistníka;</w:t>
      </w:r>
    </w:p>
    <w:p w14:paraId="655D8D6A" w14:textId="0B395576" w:rsidR="0011641B" w:rsidRPr="00B23665" w:rsidRDefault="54BE4A09" w:rsidP="00F42314">
      <w:pPr>
        <w:numPr>
          <w:ilvl w:val="0"/>
          <w:numId w:val="12"/>
        </w:numPr>
        <w:jc w:val="both"/>
        <w:rPr>
          <w:rFonts w:ascii="Arial" w:hAnsi="Arial" w:cs="Arial"/>
          <w:lang w:val="sk-SK"/>
        </w:rPr>
      </w:pPr>
      <w:r w:rsidRPr="00B23665">
        <w:rPr>
          <w:rFonts w:ascii="Arial" w:hAnsi="Arial" w:cs="Arial"/>
          <w:lang w:val="sk-SK"/>
        </w:rPr>
        <w:t xml:space="preserve">uchádzač </w:t>
      </w:r>
      <w:r w:rsidRPr="00B23665">
        <w:rPr>
          <w:rFonts w:ascii="Arial" w:hAnsi="Arial" w:cs="Arial"/>
          <w:lang w:val="pl-PL"/>
        </w:rPr>
        <w:t>akceptuje aktuálny spôsob zabezpečenia motorových vozidiel, uvedených v </w:t>
      </w:r>
      <w:r w:rsidRPr="00B23665">
        <w:rPr>
          <w:rFonts w:ascii="Arial" w:hAnsi="Arial" w:cs="Arial"/>
          <w:lang w:val="sk-SK"/>
        </w:rPr>
        <w:t>zozname vozidiel, ktorý tvorí samostatnú časť týchto súťažných podkladov</w:t>
      </w:r>
      <w:r w:rsidRPr="00B23665">
        <w:rPr>
          <w:rFonts w:ascii="Arial" w:hAnsi="Arial" w:cs="Arial"/>
          <w:lang w:val="pl-PL"/>
        </w:rPr>
        <w:t xml:space="preserve"> (alebo v jej aktualizovanej verzii), pre prípad krádeže. Pri vozidlách, ktoré vstúpia do poistenia po dátume účinnosti poistnej zmluvy, bude obstarávateľská organizácia akceptovať spôsob zabezpečenia, stanovený poistnou zmluvou;</w:t>
      </w:r>
    </w:p>
    <w:p w14:paraId="5107115F" w14:textId="6AC76776" w:rsidR="0011641B" w:rsidRPr="0011641B" w:rsidRDefault="54BE4A09" w:rsidP="0058013C">
      <w:pPr>
        <w:numPr>
          <w:ilvl w:val="0"/>
          <w:numId w:val="12"/>
        </w:numPr>
        <w:jc w:val="both"/>
        <w:rPr>
          <w:rFonts w:ascii="Arial" w:hAnsi="Arial" w:cs="Arial"/>
          <w:lang w:val="sk-SK"/>
        </w:rPr>
      </w:pPr>
      <w:r w:rsidRPr="54BE4A09">
        <w:rPr>
          <w:rFonts w:ascii="Arial" w:hAnsi="Arial" w:cs="Arial"/>
          <w:lang w:val="pl-PL"/>
        </w:rPr>
        <w:lastRenderedPageBreak/>
        <w:t>uchádzač bude akceptovať poistné sumy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 a v prípade zistenia ochýliek od nových cien, nebude uplatňovať podpoistenie. Pre vozidlá, ktoré vstúpia do poistenia po dátume účinnosti poistnej zmluvy, bude poistnou sumou nová cena vozidla. Poistné sumy sú uvedené bez DPH;</w:t>
      </w:r>
    </w:p>
    <w:p w14:paraId="173238A4" w14:textId="1AEAE9DD" w:rsidR="0011641B" w:rsidRPr="0011641B" w:rsidRDefault="54BE4A09" w:rsidP="0058013C">
      <w:pPr>
        <w:numPr>
          <w:ilvl w:val="0"/>
          <w:numId w:val="12"/>
        </w:numPr>
        <w:jc w:val="both"/>
        <w:rPr>
          <w:rFonts w:ascii="Arial" w:hAnsi="Arial" w:cs="Arial"/>
          <w:lang w:val="sk-SK"/>
        </w:rPr>
      </w:pPr>
      <w:r w:rsidRPr="54BE4A09">
        <w:rPr>
          <w:rFonts w:ascii="Arial" w:hAnsi="Arial" w:cs="Arial"/>
          <w:lang w:val="sk-SK"/>
        </w:rPr>
        <w:t xml:space="preserve">uchádzač </w:t>
      </w:r>
      <w:r w:rsidRPr="54BE4A09">
        <w:rPr>
          <w:rFonts w:ascii="Arial" w:hAnsi="Arial" w:cs="Arial"/>
          <w:lang w:val="pl-PL"/>
        </w:rPr>
        <w:t>nebude vyžadovať vstupné obhliadky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w:t>
      </w:r>
    </w:p>
    <w:p w14:paraId="7CB397DB" w14:textId="6DD0A322" w:rsidR="0011641B" w:rsidRPr="0011641B" w:rsidRDefault="54BE4A09" w:rsidP="0CAC6D43">
      <w:pPr>
        <w:numPr>
          <w:ilvl w:val="0"/>
          <w:numId w:val="12"/>
        </w:numPr>
        <w:jc w:val="both"/>
        <w:rPr>
          <w:rFonts w:ascii="Arial" w:hAnsi="Arial" w:cs="Arial"/>
          <w:lang w:val="pl-PL"/>
        </w:rPr>
      </w:pPr>
      <w:r w:rsidRPr="54BE4A09">
        <w:rPr>
          <w:rFonts w:ascii="Arial" w:hAnsi="Arial" w:cs="Arial"/>
          <w:lang w:val="pl-PL"/>
        </w:rPr>
        <w:t xml:space="preserve">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min. 3.300 EUR. </w:t>
      </w:r>
    </w:p>
    <w:p w14:paraId="10D5BA2D" w14:textId="77777777" w:rsidR="0011641B" w:rsidRPr="0011641B" w:rsidRDefault="0011641B" w:rsidP="0011641B">
      <w:pPr>
        <w:ind w:left="2120" w:hanging="2120"/>
        <w:rPr>
          <w:rFonts w:ascii="Arial" w:hAnsi="Arial" w:cs="Arial"/>
          <w:lang w:val="sk-SK"/>
        </w:rPr>
      </w:pPr>
    </w:p>
    <w:p w14:paraId="1DE3F327"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Spoluúčasť</w:t>
      </w:r>
    </w:p>
    <w:p w14:paraId="3F097AA4" w14:textId="6281AF2D" w:rsidR="0011641B" w:rsidRPr="0011641B" w:rsidRDefault="0011641B" w:rsidP="0011641B">
      <w:pPr>
        <w:pStyle w:val="Odsekzoznamu"/>
        <w:numPr>
          <w:ilvl w:val="0"/>
          <w:numId w:val="14"/>
        </w:numPr>
        <w:rPr>
          <w:rFonts w:ascii="Arial" w:hAnsi="Arial" w:cs="Arial"/>
          <w:bCs/>
          <w:lang w:val="sk-SK"/>
        </w:rPr>
      </w:pPr>
      <w:r w:rsidRPr="0011641B">
        <w:rPr>
          <w:rFonts w:ascii="Arial" w:hAnsi="Arial" w:cs="Arial"/>
          <w:bCs/>
          <w:lang w:val="sk-SK"/>
        </w:rPr>
        <w:t xml:space="preserve">5% min. 66,39 EUR </w:t>
      </w:r>
      <w:r>
        <w:rPr>
          <w:rFonts w:ascii="Arial" w:hAnsi="Arial" w:cs="Arial"/>
          <w:bCs/>
          <w:lang w:val="sk-SK"/>
        </w:rPr>
        <w:t>– pre o</w:t>
      </w:r>
      <w:r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r w:rsidRPr="0011641B">
        <w:rPr>
          <w:rFonts w:ascii="Arial" w:hAnsi="Arial" w:cs="Arial"/>
          <w:bCs/>
          <w:lang w:val="sk-SK"/>
        </w:rPr>
        <w:t xml:space="preserve"> </w:t>
      </w:r>
    </w:p>
    <w:p w14:paraId="7289968F" w14:textId="242A36F4" w:rsidR="0011641B" w:rsidRDefault="0011641B" w:rsidP="0011641B">
      <w:pPr>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n</w:t>
      </w:r>
      <w:r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6E50889" w14:textId="54881AA0" w:rsidR="0011641B" w:rsidRPr="0011641B" w:rsidRDefault="0011641B" w:rsidP="0011641B">
      <w:pPr>
        <w:pStyle w:val="Odsekzoznamu"/>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v</w:t>
      </w:r>
      <w:r w:rsidRPr="0011641B">
        <w:rPr>
          <w:rFonts w:ascii="Arial" w:hAnsi="Arial" w:cs="Arial"/>
          <w:bCs/>
          <w:lang w:val="sk-SK"/>
        </w:rPr>
        <w:t>ozidlá určené pre odvoz pevného odpadu</w:t>
      </w:r>
      <w:r>
        <w:rPr>
          <w:rFonts w:ascii="Arial" w:hAnsi="Arial" w:cs="Arial"/>
          <w:bCs/>
          <w:lang w:val="sk-SK"/>
        </w:rPr>
        <w:t>.</w:t>
      </w:r>
    </w:p>
    <w:p w14:paraId="7A8E754D" w14:textId="77777777" w:rsidR="0011641B" w:rsidRDefault="0011641B" w:rsidP="0011641B">
      <w:pPr>
        <w:ind w:left="426"/>
        <w:rPr>
          <w:rFonts w:ascii="Arial" w:hAnsi="Arial" w:cs="Arial"/>
          <w:bCs/>
          <w:lang w:val="sk-SK"/>
        </w:rPr>
      </w:pPr>
    </w:p>
    <w:p w14:paraId="0F7DA261" w14:textId="206F53AC" w:rsidR="675652AB" w:rsidRDefault="1CDE0E29" w:rsidP="675652AB">
      <w:pPr>
        <w:numPr>
          <w:ilvl w:val="0"/>
          <w:numId w:val="22"/>
        </w:numPr>
        <w:ind w:left="426"/>
        <w:rPr>
          <w:rFonts w:ascii="Arial" w:hAnsi="Arial" w:cs="Arial"/>
          <w:b/>
          <w:bCs/>
          <w:lang w:val="sk-SK"/>
        </w:rPr>
      </w:pPr>
      <w:r w:rsidRPr="1CDE0E29">
        <w:rPr>
          <w:rFonts w:ascii="Arial" w:hAnsi="Arial" w:cs="Arial"/>
          <w:b/>
          <w:bCs/>
          <w:lang w:val="sk-SK"/>
        </w:rPr>
        <w:t>Územná platnosť poistenia (minimálne požadovaný územný rozsah)</w:t>
      </w:r>
    </w:p>
    <w:p w14:paraId="1607EFD2" w14:textId="105FB7B0" w:rsidR="0011641B" w:rsidRPr="0011641B" w:rsidRDefault="0058013C" w:rsidP="0011641B">
      <w:pPr>
        <w:pStyle w:val="Odsekzoznamu"/>
        <w:numPr>
          <w:ilvl w:val="0"/>
          <w:numId w:val="17"/>
        </w:numPr>
        <w:rPr>
          <w:rFonts w:ascii="Arial" w:hAnsi="Arial" w:cs="Arial"/>
          <w:bCs/>
          <w:lang w:val="sk-SK"/>
        </w:rPr>
      </w:pPr>
      <w:r w:rsidRPr="0011641B">
        <w:rPr>
          <w:rFonts w:ascii="Arial" w:hAnsi="Arial" w:cs="Arial"/>
          <w:bCs/>
          <w:lang w:val="sk-SK"/>
        </w:rPr>
        <w:t>SR a geografická Európa</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o</w:t>
      </w:r>
      <w:r w:rsidR="0011641B"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p>
    <w:p w14:paraId="49881372" w14:textId="72D15856" w:rsidR="0011641B" w:rsidRPr="0011641B" w:rsidRDefault="0058013C" w:rsidP="0011641B">
      <w:pPr>
        <w:pStyle w:val="Odsekzoznamu"/>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n</w:t>
      </w:r>
      <w:r w:rsidR="0011641B"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DE3BB7B" w14:textId="1DBE09AE" w:rsidR="00080327" w:rsidRDefault="0058013C" w:rsidP="00C138F6">
      <w:pPr>
        <w:pStyle w:val="Odsekzoznamu"/>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v</w:t>
      </w:r>
      <w:r w:rsidR="0011641B" w:rsidRPr="0011641B">
        <w:rPr>
          <w:rFonts w:ascii="Arial" w:hAnsi="Arial" w:cs="Arial"/>
          <w:bCs/>
          <w:lang w:val="sk-SK"/>
        </w:rPr>
        <w:t>ozidlá určené pre odvoz pevného odpadu</w:t>
      </w:r>
      <w:r>
        <w:rPr>
          <w:rFonts w:ascii="Arial" w:hAnsi="Arial" w:cs="Arial"/>
          <w:bCs/>
          <w:lang w:val="sk-SK"/>
        </w:rPr>
        <w:t>.</w:t>
      </w:r>
    </w:p>
    <w:p w14:paraId="1E860D0A" w14:textId="0A4EAF38" w:rsidR="00D041BF" w:rsidRDefault="00D041BF" w:rsidP="00D041BF">
      <w:pPr>
        <w:rPr>
          <w:rFonts w:ascii="Arial" w:hAnsi="Arial" w:cs="Arial"/>
          <w:bCs/>
          <w:lang w:val="sk-SK"/>
        </w:rPr>
      </w:pPr>
    </w:p>
    <w:p w14:paraId="276F06C5" w14:textId="77777777" w:rsidR="00D041BF" w:rsidRDefault="675652AB" w:rsidP="00D041BF">
      <w:pPr>
        <w:numPr>
          <w:ilvl w:val="0"/>
          <w:numId w:val="22"/>
        </w:numPr>
        <w:ind w:left="426"/>
        <w:rPr>
          <w:rFonts w:ascii="Arial" w:hAnsi="Arial" w:cs="Arial"/>
          <w:b/>
          <w:lang w:val="sk-SK"/>
        </w:rPr>
      </w:pPr>
      <w:r w:rsidRPr="675652AB">
        <w:rPr>
          <w:rFonts w:ascii="Arial" w:hAnsi="Arial" w:cs="Arial"/>
          <w:b/>
          <w:bCs/>
          <w:lang w:val="sk-SK"/>
        </w:rPr>
        <w:t>Doplňujúce informácie</w:t>
      </w:r>
    </w:p>
    <w:p w14:paraId="6963872F" w14:textId="05DA7733" w:rsidR="00D041BF" w:rsidRPr="00E73C3E" w:rsidRDefault="413E00EE" w:rsidP="413E00EE">
      <w:pPr>
        <w:pStyle w:val="Odsekzoznamu"/>
        <w:numPr>
          <w:ilvl w:val="0"/>
          <w:numId w:val="23"/>
        </w:numPr>
        <w:rPr>
          <w:rFonts w:ascii="Arial" w:hAnsi="Arial" w:cs="Arial"/>
          <w:lang w:val="sk-SK"/>
        </w:rPr>
      </w:pPr>
      <w:r w:rsidRPr="413E00EE">
        <w:rPr>
          <w:rFonts w:ascii="Arial" w:hAnsi="Arial" w:cs="Arial"/>
          <w:lang w:val="sk-SK"/>
        </w:rPr>
        <w:t>trvanie poistenia: 24 mesiacov</w:t>
      </w:r>
    </w:p>
    <w:p w14:paraId="2A460B30" w14:textId="37BF88C6" w:rsidR="00D041BF" w:rsidRPr="00E73C3E" w:rsidRDefault="00D041BF" w:rsidP="00D041BF">
      <w:pPr>
        <w:pStyle w:val="Odsekzoznamu"/>
        <w:numPr>
          <w:ilvl w:val="0"/>
          <w:numId w:val="23"/>
        </w:numPr>
        <w:rPr>
          <w:rFonts w:ascii="Arial" w:hAnsi="Arial" w:cs="Arial"/>
          <w:bCs/>
          <w:lang w:val="sk-SK"/>
        </w:rPr>
      </w:pPr>
      <w:r w:rsidRPr="00E73C3E">
        <w:rPr>
          <w:rFonts w:ascii="Arial" w:hAnsi="Arial" w:cs="Arial"/>
          <w:bCs/>
          <w:lang w:val="sk-SK"/>
        </w:rPr>
        <w:t>poistn</w:t>
      </w:r>
      <w:r w:rsidR="009936E4">
        <w:rPr>
          <w:rFonts w:ascii="Arial" w:hAnsi="Arial" w:cs="Arial"/>
          <w:bCs/>
          <w:lang w:val="sk-SK"/>
        </w:rPr>
        <w:t>á</w:t>
      </w:r>
      <w:r w:rsidRPr="00E73C3E">
        <w:rPr>
          <w:rFonts w:ascii="Arial" w:hAnsi="Arial" w:cs="Arial"/>
          <w:bCs/>
          <w:lang w:val="sk-SK"/>
        </w:rPr>
        <w:t xml:space="preserve"> </w:t>
      </w:r>
      <w:r w:rsidR="009936E4">
        <w:rPr>
          <w:rFonts w:ascii="Arial" w:hAnsi="Arial" w:cs="Arial"/>
          <w:bCs/>
          <w:lang w:val="sk-SK"/>
        </w:rPr>
        <w:t>doba</w:t>
      </w:r>
      <w:r w:rsidRPr="00E73C3E">
        <w:rPr>
          <w:rFonts w:ascii="Arial" w:hAnsi="Arial" w:cs="Arial"/>
          <w:bCs/>
          <w:lang w:val="sk-SK"/>
        </w:rPr>
        <w:t xml:space="preserve">: </w:t>
      </w:r>
      <w:r>
        <w:rPr>
          <w:rFonts w:ascii="Arial" w:hAnsi="Arial" w:cs="Arial"/>
          <w:bCs/>
          <w:lang w:val="sk-SK"/>
        </w:rPr>
        <w:t xml:space="preserve">technický </w:t>
      </w:r>
      <w:r w:rsidRPr="00E73C3E">
        <w:rPr>
          <w:rFonts w:ascii="Arial" w:hAnsi="Arial" w:cs="Arial"/>
          <w:bCs/>
          <w:lang w:val="sk-SK"/>
        </w:rPr>
        <w:t>rok;</w:t>
      </w:r>
    </w:p>
    <w:p w14:paraId="5C28069B" w14:textId="77777777" w:rsidR="00D041BF" w:rsidRDefault="00D041BF" w:rsidP="00D041BF">
      <w:pPr>
        <w:pStyle w:val="Odsekzoznamu"/>
        <w:numPr>
          <w:ilvl w:val="0"/>
          <w:numId w:val="23"/>
        </w:numPr>
        <w:rPr>
          <w:rFonts w:ascii="Arial" w:hAnsi="Arial" w:cs="Arial"/>
          <w:bCs/>
          <w:lang w:val="sk-SK"/>
        </w:rPr>
      </w:pPr>
      <w:r w:rsidRPr="00E73C3E">
        <w:rPr>
          <w:rFonts w:ascii="Arial" w:hAnsi="Arial" w:cs="Arial"/>
          <w:bCs/>
          <w:lang w:val="sk-SK"/>
        </w:rPr>
        <w:t>po uzavretí poistenia bude poistený požadovať zverenie poistnej zmluvy do správy samostatného finančného agenta;</w:t>
      </w:r>
    </w:p>
    <w:p w14:paraId="7D5504CF" w14:textId="77777777" w:rsidR="005B0E82" w:rsidRDefault="005B0E82" w:rsidP="005B0E82">
      <w:pPr>
        <w:pStyle w:val="Odsekzoznamu"/>
        <w:rPr>
          <w:rFonts w:ascii="Arial" w:hAnsi="Arial" w:cs="Arial"/>
          <w:bCs/>
          <w:lang w:val="sk-SK"/>
        </w:rPr>
      </w:pPr>
    </w:p>
    <w:p w14:paraId="0A5826D8" w14:textId="0E4BEF83" w:rsidR="00080327" w:rsidRDefault="006E4B30" w:rsidP="0CAC6D43">
      <w:pPr>
        <w:rPr>
          <w:rFonts w:ascii="Arial" w:hAnsi="Arial" w:cs="Arial"/>
          <w:color w:val="FF0000"/>
          <w:lang w:val="sk-SK"/>
        </w:rPr>
      </w:pPr>
      <w:r w:rsidRPr="006E4B30">
        <w:rPr>
          <w:rFonts w:ascii="Arial" w:hAnsi="Arial" w:cs="Arial"/>
          <w:bCs/>
          <w:lang w:val="sk-SK"/>
        </w:rPr>
        <w:tab/>
      </w:r>
      <w:r w:rsidRPr="006E4B30">
        <w:rPr>
          <w:rFonts w:ascii="Arial" w:hAnsi="Arial" w:cs="Arial"/>
          <w:bCs/>
          <w:lang w:val="sk-SK"/>
        </w:rPr>
        <w:tab/>
      </w:r>
      <w:r w:rsidRPr="006E4B30">
        <w:rPr>
          <w:rFonts w:ascii="Arial" w:hAnsi="Arial" w:cs="Arial"/>
          <w:bCs/>
          <w:lang w:val="sk-SK"/>
        </w:rPr>
        <w:tab/>
      </w:r>
    </w:p>
    <w:p w14:paraId="7B779170" w14:textId="18FC61AC" w:rsidR="00C138F6" w:rsidRPr="0099449D" w:rsidRDefault="00C138F6" w:rsidP="00C138F6">
      <w:pPr>
        <w:ind w:left="2120" w:hanging="2120"/>
        <w:rPr>
          <w:rFonts w:ascii="Arial" w:hAnsi="Arial" w:cs="Arial"/>
          <w:lang w:val="sk-SK"/>
        </w:rPr>
      </w:pPr>
    </w:p>
    <w:sectPr w:rsidR="00C138F6" w:rsidRPr="00994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0"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11"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43027E"/>
    <w:multiLevelType w:val="hybridMultilevel"/>
    <w:tmpl w:val="E1FE8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540EFB"/>
    <w:multiLevelType w:val="hybridMultilevel"/>
    <w:tmpl w:val="F1B077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8"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847712122">
    <w:abstractNumId w:val="19"/>
  </w:num>
  <w:num w:numId="2" w16cid:durableId="1699621931">
    <w:abstractNumId w:val="14"/>
  </w:num>
  <w:num w:numId="3" w16cid:durableId="1266226925">
    <w:abstractNumId w:val="15"/>
  </w:num>
  <w:num w:numId="4" w16cid:durableId="1807234263">
    <w:abstractNumId w:val="13"/>
  </w:num>
  <w:num w:numId="5" w16cid:durableId="974525101">
    <w:abstractNumId w:val="18"/>
  </w:num>
  <w:num w:numId="6" w16cid:durableId="716903180">
    <w:abstractNumId w:val="11"/>
  </w:num>
  <w:num w:numId="7" w16cid:durableId="1076122824">
    <w:abstractNumId w:val="2"/>
  </w:num>
  <w:num w:numId="8" w16cid:durableId="31021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8433">
    <w:abstractNumId w:val="10"/>
  </w:num>
  <w:num w:numId="10"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8757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848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953869">
    <w:abstractNumId w:val="3"/>
  </w:num>
  <w:num w:numId="14"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263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81194">
    <w:abstractNumId w:val="5"/>
  </w:num>
  <w:num w:numId="18" w16cid:durableId="1396783762">
    <w:abstractNumId w:val="7"/>
  </w:num>
  <w:num w:numId="19" w16cid:durableId="107940694">
    <w:abstractNumId w:val="12"/>
  </w:num>
  <w:num w:numId="20" w16cid:durableId="1338386296">
    <w:abstractNumId w:val="3"/>
  </w:num>
  <w:num w:numId="21" w16cid:durableId="2022119219">
    <w:abstractNumId w:val="8"/>
  </w:num>
  <w:num w:numId="22" w16cid:durableId="63719671">
    <w:abstractNumId w:val="4"/>
  </w:num>
  <w:num w:numId="23" w16cid:durableId="2130127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3737"/>
    <w:rsid w:val="00005AF6"/>
    <w:rsid w:val="00006B85"/>
    <w:rsid w:val="00080327"/>
    <w:rsid w:val="0011641B"/>
    <w:rsid w:val="0022067A"/>
    <w:rsid w:val="0025155A"/>
    <w:rsid w:val="00292E82"/>
    <w:rsid w:val="002C1E03"/>
    <w:rsid w:val="003256FE"/>
    <w:rsid w:val="003B7885"/>
    <w:rsid w:val="003D2C4D"/>
    <w:rsid w:val="004C467C"/>
    <w:rsid w:val="0050116D"/>
    <w:rsid w:val="005140B0"/>
    <w:rsid w:val="00563B58"/>
    <w:rsid w:val="0058013C"/>
    <w:rsid w:val="005B0E82"/>
    <w:rsid w:val="005C4BC5"/>
    <w:rsid w:val="00642AD6"/>
    <w:rsid w:val="00647F94"/>
    <w:rsid w:val="0067057F"/>
    <w:rsid w:val="006D7F6F"/>
    <w:rsid w:val="006E4B30"/>
    <w:rsid w:val="00820FE1"/>
    <w:rsid w:val="00844243"/>
    <w:rsid w:val="008F2EA0"/>
    <w:rsid w:val="00973BE4"/>
    <w:rsid w:val="009936E4"/>
    <w:rsid w:val="0099449D"/>
    <w:rsid w:val="009D1829"/>
    <w:rsid w:val="00A431F9"/>
    <w:rsid w:val="00A5296F"/>
    <w:rsid w:val="00A77776"/>
    <w:rsid w:val="00A86968"/>
    <w:rsid w:val="00AA60A5"/>
    <w:rsid w:val="00AC27E3"/>
    <w:rsid w:val="00AF7D51"/>
    <w:rsid w:val="00B23665"/>
    <w:rsid w:val="00B30324"/>
    <w:rsid w:val="00B93CF6"/>
    <w:rsid w:val="00BD06E5"/>
    <w:rsid w:val="00BD701F"/>
    <w:rsid w:val="00C138F6"/>
    <w:rsid w:val="00CA177F"/>
    <w:rsid w:val="00CB6A91"/>
    <w:rsid w:val="00CB7737"/>
    <w:rsid w:val="00CC4B97"/>
    <w:rsid w:val="00CF4ECD"/>
    <w:rsid w:val="00D00424"/>
    <w:rsid w:val="00D041BF"/>
    <w:rsid w:val="00DA33DE"/>
    <w:rsid w:val="00ED60B6"/>
    <w:rsid w:val="00F61ADB"/>
    <w:rsid w:val="00F730CB"/>
    <w:rsid w:val="00F95F89"/>
    <w:rsid w:val="00FB7616"/>
    <w:rsid w:val="03353766"/>
    <w:rsid w:val="04D5B71C"/>
    <w:rsid w:val="0CAC6D43"/>
    <w:rsid w:val="12C86627"/>
    <w:rsid w:val="1C17BACA"/>
    <w:rsid w:val="1CDE0E29"/>
    <w:rsid w:val="1F203F81"/>
    <w:rsid w:val="21EAB849"/>
    <w:rsid w:val="2ADE85EC"/>
    <w:rsid w:val="2F9C12F1"/>
    <w:rsid w:val="351F64F8"/>
    <w:rsid w:val="3706A78D"/>
    <w:rsid w:val="38A277EE"/>
    <w:rsid w:val="413E00EE"/>
    <w:rsid w:val="5467A432"/>
    <w:rsid w:val="54BE4A09"/>
    <w:rsid w:val="5A38927F"/>
    <w:rsid w:val="675652AB"/>
    <w:rsid w:val="73AD68AA"/>
    <w:rsid w:val="7D7B03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D9A6D6A6-8A69-4035-B020-C707CE92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4B9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2EA0"/>
    <w:pPr>
      <w:ind w:left="720"/>
      <w:contextualSpacing/>
    </w:pPr>
  </w:style>
  <w:style w:type="table" w:styleId="Mriekatabuky">
    <w:name w:val="Table Grid"/>
    <w:basedOn w:val="Normlnatabuka"/>
    <w:uiPriority w:val="39"/>
    <w:rsid w:val="00116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003737"/>
    <w:pPr>
      <w:spacing w:after="0" w:line="240" w:lineRule="auto"/>
    </w:pPr>
  </w:style>
  <w:style w:type="paragraph" w:styleId="Predmetkomentra">
    <w:name w:val="annotation subject"/>
    <w:basedOn w:val="Textkomentra"/>
    <w:next w:val="Textkomentra"/>
    <w:link w:val="PredmetkomentraChar"/>
    <w:uiPriority w:val="99"/>
    <w:semiHidden/>
    <w:unhideWhenUsed/>
    <w:rsid w:val="00AC27E3"/>
    <w:rPr>
      <w:b/>
      <w:bCs/>
    </w:rPr>
  </w:style>
  <w:style w:type="character" w:customStyle="1" w:styleId="PredmetkomentraChar">
    <w:name w:val="Predmet komentára Char"/>
    <w:basedOn w:val="TextkomentraChar"/>
    <w:link w:val="Predmetkomentra"/>
    <w:uiPriority w:val="99"/>
    <w:semiHidden/>
    <w:rsid w:val="00AC2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188">
      <w:bodyDiv w:val="1"/>
      <w:marLeft w:val="0"/>
      <w:marRight w:val="0"/>
      <w:marTop w:val="0"/>
      <w:marBottom w:val="0"/>
      <w:divBdr>
        <w:top w:val="none" w:sz="0" w:space="0" w:color="auto"/>
        <w:left w:val="none" w:sz="0" w:space="0" w:color="auto"/>
        <w:bottom w:val="none" w:sz="0" w:space="0" w:color="auto"/>
        <w:right w:val="none" w:sz="0" w:space="0" w:color="auto"/>
      </w:divBdr>
    </w:div>
    <w:div w:id="1036392952">
      <w:bodyDiv w:val="1"/>
      <w:marLeft w:val="0"/>
      <w:marRight w:val="0"/>
      <w:marTop w:val="0"/>
      <w:marBottom w:val="0"/>
      <w:divBdr>
        <w:top w:val="none" w:sz="0" w:space="0" w:color="auto"/>
        <w:left w:val="none" w:sz="0" w:space="0" w:color="auto"/>
        <w:bottom w:val="none" w:sz="0" w:space="0" w:color="auto"/>
        <w:right w:val="none" w:sz="0" w:space="0" w:color="auto"/>
      </w:divBdr>
    </w:div>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 w:id="1215118452">
      <w:bodyDiv w:val="1"/>
      <w:marLeft w:val="0"/>
      <w:marRight w:val="0"/>
      <w:marTop w:val="0"/>
      <w:marBottom w:val="0"/>
      <w:divBdr>
        <w:top w:val="none" w:sz="0" w:space="0" w:color="auto"/>
        <w:left w:val="none" w:sz="0" w:space="0" w:color="auto"/>
        <w:bottom w:val="none" w:sz="0" w:space="0" w:color="auto"/>
        <w:right w:val="none" w:sz="0" w:space="0" w:color="auto"/>
      </w:divBdr>
    </w:div>
    <w:div w:id="1397438789">
      <w:bodyDiv w:val="1"/>
      <w:marLeft w:val="0"/>
      <w:marRight w:val="0"/>
      <w:marTop w:val="0"/>
      <w:marBottom w:val="0"/>
      <w:divBdr>
        <w:top w:val="none" w:sz="0" w:space="0" w:color="auto"/>
        <w:left w:val="none" w:sz="0" w:space="0" w:color="auto"/>
        <w:bottom w:val="none" w:sz="0" w:space="0" w:color="auto"/>
        <w:right w:val="none" w:sz="0" w:space="0" w:color="auto"/>
      </w:divBdr>
    </w:div>
    <w:div w:id="1448501278">
      <w:bodyDiv w:val="1"/>
      <w:marLeft w:val="0"/>
      <w:marRight w:val="0"/>
      <w:marTop w:val="0"/>
      <w:marBottom w:val="0"/>
      <w:divBdr>
        <w:top w:val="none" w:sz="0" w:space="0" w:color="auto"/>
        <w:left w:val="none" w:sz="0" w:space="0" w:color="auto"/>
        <w:bottom w:val="none" w:sz="0" w:space="0" w:color="auto"/>
        <w:right w:val="none" w:sz="0" w:space="0" w:color="auto"/>
      </w:divBdr>
    </w:div>
    <w:div w:id="1450784411">
      <w:bodyDiv w:val="1"/>
      <w:marLeft w:val="0"/>
      <w:marRight w:val="0"/>
      <w:marTop w:val="0"/>
      <w:marBottom w:val="0"/>
      <w:divBdr>
        <w:top w:val="none" w:sz="0" w:space="0" w:color="auto"/>
        <w:left w:val="none" w:sz="0" w:space="0" w:color="auto"/>
        <w:bottom w:val="none" w:sz="0" w:space="0" w:color="auto"/>
        <w:right w:val="none" w:sz="0" w:space="0" w:color="auto"/>
      </w:divBdr>
    </w:div>
    <w:div w:id="1713071597">
      <w:bodyDiv w:val="1"/>
      <w:marLeft w:val="0"/>
      <w:marRight w:val="0"/>
      <w:marTop w:val="0"/>
      <w:marBottom w:val="0"/>
      <w:divBdr>
        <w:top w:val="none" w:sz="0" w:space="0" w:color="auto"/>
        <w:left w:val="none" w:sz="0" w:space="0" w:color="auto"/>
        <w:bottom w:val="none" w:sz="0" w:space="0" w:color="auto"/>
        <w:right w:val="none" w:sz="0" w:space="0" w:color="auto"/>
      </w:divBdr>
    </w:div>
    <w:div w:id="21153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5404</Characters>
  <Application>Microsoft Office Word</Application>
  <DocSecurity>4</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Bednarzová</dc:creator>
  <cp:keywords/>
  <dc:description/>
  <cp:lastModifiedBy>Čukašová Michaela</cp:lastModifiedBy>
  <cp:revision>2</cp:revision>
  <dcterms:created xsi:type="dcterms:W3CDTF">2023-06-14T08:21:00Z</dcterms:created>
  <dcterms:modified xsi:type="dcterms:W3CDTF">2023-06-14T08:21:00Z</dcterms:modified>
</cp:coreProperties>
</file>