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A9B0" w14:textId="77777777" w:rsidR="008F2C50" w:rsidRPr="00DF3BB3" w:rsidRDefault="008F2C50" w:rsidP="008F2C50">
      <w:pPr>
        <w:spacing w:after="120"/>
        <w:contextualSpacing/>
        <w:jc w:val="center"/>
        <w:rPr>
          <w:rFonts w:ascii="Arial Narrow" w:hAnsi="Arial Narrow"/>
          <w:b/>
        </w:rPr>
      </w:pPr>
      <w:r w:rsidRPr="00DF3BB3">
        <w:rPr>
          <w:rFonts w:ascii="Arial Narrow" w:hAnsi="Arial Narrow"/>
          <w:b/>
        </w:rPr>
        <w:t xml:space="preserve">Zmluva č. </w:t>
      </w:r>
      <w:r w:rsidRPr="00786E61">
        <w:rPr>
          <w:rFonts w:ascii="Arial Narrow" w:hAnsi="Arial Narrow"/>
          <w:b/>
          <w:highlight w:val="yellow"/>
        </w:rPr>
        <w:t>XXX</w:t>
      </w:r>
    </w:p>
    <w:p w14:paraId="714CD339" w14:textId="77777777" w:rsidR="008F2C50" w:rsidRPr="00DF3BB3" w:rsidRDefault="008F2C50" w:rsidP="008F2C50">
      <w:pPr>
        <w:contextualSpacing/>
        <w:jc w:val="center"/>
        <w:rPr>
          <w:rFonts w:ascii="Arial Narrow" w:hAnsi="Arial Narrow" w:cs="Arial"/>
          <w:b/>
          <w:noProof/>
          <w:lang w:eastAsia="sk-SK"/>
        </w:rPr>
      </w:pPr>
      <w:r w:rsidRPr="00DF3BB3">
        <w:rPr>
          <w:rFonts w:ascii="Arial Narrow" w:hAnsi="Arial Narrow" w:cs="Arial"/>
          <w:b/>
          <w:noProof/>
          <w:lang w:eastAsia="sk-SK"/>
        </w:rPr>
        <w:t>o dodávke elektriny, zabezpečení distribúcie elektriny a prevzatí zodpovednosti za odchýlku</w:t>
      </w:r>
    </w:p>
    <w:p w14:paraId="4F7551AE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8F2C50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Zmluvné strany:</w:t>
      </w:r>
    </w:p>
    <w:p w14:paraId="709E8572" w14:textId="77777777" w:rsidR="006D76E7" w:rsidRPr="008F2C50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600DE19" w14:textId="04B67242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</w:p>
    <w:p w14:paraId="6A55212C" w14:textId="032E6E7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Obchodné meno: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EE688BF" w14:textId="287020A9" w:rsidR="008F2C50" w:rsidRPr="008F2C50" w:rsidRDefault="000156A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Sídlo</w:t>
      </w:r>
      <w:r w:rsidR="008F2C50"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2C50" w:rsidRPr="008F2C50">
        <w:rPr>
          <w:rFonts w:ascii="Arial Narrow" w:hAnsi="Arial Narrow"/>
        </w:rPr>
        <w:tab/>
      </w:r>
      <w:r w:rsidR="008F2C50" w:rsidRPr="008F2C50">
        <w:rPr>
          <w:rFonts w:ascii="Arial Narrow" w:hAnsi="Arial Narrow"/>
        </w:rPr>
        <w:tab/>
      </w:r>
      <w:r w:rsidR="008F2C50" w:rsidRPr="008F2C50">
        <w:rPr>
          <w:rFonts w:ascii="Arial Narrow" w:hAnsi="Arial Narrow"/>
          <w:b/>
          <w:bCs/>
        </w:rPr>
        <w:t>________________________</w:t>
      </w:r>
    </w:p>
    <w:p w14:paraId="4D18F994" w14:textId="77777777" w:rsidR="008F2C50" w:rsidRPr="008F2C50" w:rsidRDefault="008F2C50" w:rsidP="008F2C50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Zapísaný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2B75B6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84FA3E0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DIČ: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4EC3A2" w14:textId="664A0A5E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IČ DPH: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2B3EFF9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Bankové spojenie: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C0A004B" w14:textId="417CA16C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6BA191B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Zastúpený: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C62152D" w14:textId="65498DF0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</w:rPr>
        <w:t>Telefónne číslo: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9D31632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2075482" w14:textId="760A0D98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len ,,</w:t>
      </w:r>
      <w:r>
        <w:rPr>
          <w:rFonts w:ascii="Arial Narrow" w:hAnsi="Arial Narrow"/>
          <w:b/>
          <w:bCs/>
          <w:i/>
          <w:iCs/>
        </w:rPr>
        <w:t>Poskytovateľ</w:t>
      </w:r>
      <w:r w:rsidRPr="008F2C50">
        <w:rPr>
          <w:rFonts w:ascii="Arial Narrow" w:hAnsi="Arial Narrow"/>
        </w:rPr>
        <w:t>“)</w:t>
      </w:r>
    </w:p>
    <w:p w14:paraId="0A548AD9" w14:textId="77777777" w:rsidR="008F2C50" w:rsidRPr="008F2C50" w:rsidRDefault="008F2C50" w:rsidP="008F2C50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a</w:t>
      </w:r>
    </w:p>
    <w:p w14:paraId="2FFB1923" w14:textId="6065E408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bjednávateľ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</w:p>
    <w:p w14:paraId="4F0015CD" w14:textId="77777777" w:rsidR="008F2C50" w:rsidRPr="008F2C50" w:rsidRDefault="008F2C50" w:rsidP="008F2C50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Názov: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Datacentrum</w:t>
      </w:r>
    </w:p>
    <w:p w14:paraId="51513B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So sídlom: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Cintorínska 5, 814 88 Bratislava</w:t>
      </w:r>
    </w:p>
    <w:p w14:paraId="345B0807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V mene ktorého koná: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 w:cs="Arial"/>
        </w:rPr>
        <w:t>Ing. Tibor Tarábek, riaditeľ</w:t>
      </w:r>
    </w:p>
    <w:p w14:paraId="234FBF19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Zapísaný: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rozpočtová organizácia zriadená na základe zriaďovacej listiny</w:t>
      </w:r>
    </w:p>
    <w:p w14:paraId="4562F1A8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00151564</w:t>
      </w:r>
    </w:p>
    <w:p w14:paraId="7FDD901F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DIČ: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2020845079</w:t>
      </w:r>
    </w:p>
    <w:p w14:paraId="71EEEA26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Bankové spojenie: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Štátna pokladnica</w:t>
      </w:r>
    </w:p>
    <w:p w14:paraId="75999B6D" w14:textId="67821B2A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20ECACE5" w14:textId="3FE9E62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Telefónne číslo: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32B190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e-mail: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_________________________</w:t>
      </w:r>
    </w:p>
    <w:p w14:paraId="60F7D6E4" w14:textId="4A4BA775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ako „</w:t>
      </w:r>
      <w:r w:rsidRPr="008F2C50">
        <w:rPr>
          <w:rFonts w:ascii="Arial Narrow" w:hAnsi="Arial Narrow"/>
          <w:b/>
          <w:bCs/>
          <w:i/>
          <w:iCs/>
        </w:rPr>
        <w:t>O</w:t>
      </w:r>
      <w:r>
        <w:rPr>
          <w:rFonts w:ascii="Arial Narrow" w:hAnsi="Arial Narrow"/>
          <w:b/>
          <w:bCs/>
          <w:i/>
          <w:iCs/>
        </w:rPr>
        <w:t>bjednávateľ</w:t>
      </w:r>
      <w:r w:rsidRPr="008F2C50">
        <w:rPr>
          <w:rFonts w:ascii="Arial Narrow" w:hAnsi="Arial Narrow"/>
        </w:rPr>
        <w:t>“)</w:t>
      </w:r>
    </w:p>
    <w:p w14:paraId="5460CD9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1234001" w14:textId="77777777" w:rsidR="008F2C50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8F2C50">
        <w:rPr>
          <w:rFonts w:ascii="Arial Narrow" w:hAnsi="Arial Narrow" w:cs="Times New Roman"/>
        </w:rPr>
        <w:t xml:space="preserve">, </w:t>
      </w:r>
      <w:r w:rsidR="008F2C50" w:rsidRPr="008F2C50">
        <w:rPr>
          <w:rFonts w:ascii="Arial Narrow" w:hAnsi="Arial Narrow" w:cs="Times New Roman"/>
        </w:rPr>
        <w:t>zabezpečení distribúcie elektriny a prevzatí zodpovednosti za odchýlku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</w:p>
    <w:p w14:paraId="43ABC983" w14:textId="5E7B095E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Zmluva</w:t>
      </w:r>
      <w:r w:rsidRPr="00AF3241">
        <w:rPr>
          <w:rFonts w:ascii="Arial Narrow" w:hAnsi="Arial Narrow" w:cs="Times New Roman"/>
        </w:rPr>
        <w:t>“) nasledovne:</w:t>
      </w:r>
    </w:p>
    <w:p w14:paraId="0A49DF16" w14:textId="4EFFF6EE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1</w:t>
      </w:r>
    </w:p>
    <w:p w14:paraId="34F607AF" w14:textId="2A0B3054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45CEBF51" w:rsidR="00894A34" w:rsidRPr="00AF3241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dňa </w:t>
      </w:r>
      <w:r w:rsidR="00786E61">
        <w:rPr>
          <w:rFonts w:ascii="Arial Narrow" w:hAnsi="Arial Narrow" w:cs="Times New Roman"/>
        </w:rPr>
        <w:t>05.05.2023</w:t>
      </w:r>
      <w:r w:rsidRPr="0093053E">
        <w:rPr>
          <w:rFonts w:ascii="Arial Narrow" w:hAnsi="Arial Narrow" w:cs="Times New Roman"/>
        </w:rPr>
        <w:t xml:space="preserve"> pod značkou</w:t>
      </w:r>
      <w:r w:rsidR="00786E61">
        <w:rPr>
          <w:rFonts w:ascii="Arial Narrow" w:hAnsi="Arial Narrow" w:cs="Times New Roman"/>
        </w:rPr>
        <w:t>:</w:t>
      </w:r>
      <w:r w:rsidRPr="0093053E">
        <w:rPr>
          <w:rFonts w:ascii="Arial Narrow" w:hAnsi="Arial Narrow" w:cs="Times New Roman"/>
        </w:rPr>
        <w:t xml:space="preserve"> </w:t>
      </w:r>
      <w:r w:rsidR="00786E61" w:rsidRPr="00786E61">
        <w:rPr>
          <w:rFonts w:ascii="Arial Narrow" w:hAnsi="Arial Narrow" w:cs="Times New Roman"/>
        </w:rPr>
        <w:t>2023/S 088-267901</w:t>
      </w:r>
      <w:r w:rsidR="00786E61">
        <w:rPr>
          <w:rFonts w:ascii="Arial Narrow" w:hAnsi="Arial Narrow" w:cs="Times New Roman"/>
        </w:rPr>
        <w:t xml:space="preserve"> </w:t>
      </w:r>
      <w:r w:rsidRPr="0093053E">
        <w:rPr>
          <w:rFonts w:ascii="Arial Narrow" w:hAnsi="Arial Narrow" w:cs="Times New Roman"/>
        </w:rPr>
        <w:t>na predmet zákazky „</w:t>
      </w:r>
      <w:r w:rsidR="008F2C50" w:rsidRPr="008F2C50">
        <w:rPr>
          <w:rFonts w:ascii="Arial Narrow" w:hAnsi="Arial Narrow" w:cs="Times New Roman"/>
        </w:rPr>
        <w:t>Nákup, dodávka a distribúcia elektriny a plynu - DNS</w:t>
      </w:r>
      <w:r w:rsidRPr="0093053E">
        <w:rPr>
          <w:rFonts w:ascii="Arial Narrow" w:hAnsi="Arial Narrow" w:cs="Times New Roman"/>
        </w:rPr>
        <w:t>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>“) podľa zák. č. 343/2015 Z.z.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="00894A34" w:rsidRPr="00AF3241">
        <w:rPr>
          <w:rFonts w:ascii="Arial Narrow" w:hAnsi="Arial Narrow" w:cs="Times New Roman"/>
        </w:rPr>
        <w:t>.</w:t>
      </w:r>
      <w:r w:rsidR="006420D6" w:rsidRPr="00AF3241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AF3241">
        <w:rPr>
          <w:rFonts w:ascii="Arial Narrow" w:hAnsi="Arial Narrow" w:cs="Times New Roman"/>
        </w:rPr>
        <w:t>zákazky</w:t>
      </w:r>
      <w:r w:rsidR="006420D6" w:rsidRPr="00AF3241">
        <w:rPr>
          <w:rFonts w:ascii="Arial Narrow" w:hAnsi="Arial Narrow" w:cs="Times New Roman"/>
        </w:rPr>
        <w:t xml:space="preserve"> (ďalej ako „</w:t>
      </w:r>
      <w:r w:rsidR="006420D6" w:rsidRPr="00AF3241">
        <w:rPr>
          <w:rFonts w:ascii="Arial Narrow" w:hAnsi="Arial Narrow" w:cs="Times New Roman"/>
          <w:b/>
          <w:bCs/>
        </w:rPr>
        <w:t>OPZ</w:t>
      </w:r>
      <w:r w:rsidR="006420D6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Verejné obstarávanie realizoval </w:t>
      </w:r>
      <w:r w:rsidRPr="00A45695">
        <w:rPr>
          <w:rFonts w:ascii="Arial Narrow" w:hAnsi="Arial Narrow" w:cs="Times New Roman"/>
        </w:rPr>
        <w:t>Objednávateľ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47FC2164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7A10A2AE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7FA4CB3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34000C9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BBB07AF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>Poskytovateľ zabezpečí komplexné Zmluvné plnenia súvisiace s pravidelnou bezpečnou, stabilnou a komplexnou distribúciou a dodávkou elektriny do Odberných miest vrátane prevzatia zodpovednosti za odchýlky voči zúčtovateľovi odchýlok za každé z Odberných miest za týchto podmienok:</w:t>
      </w:r>
    </w:p>
    <w:p w14:paraId="3CCFE475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8817360" w14:textId="7ACF084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3C5CAB32" w14:textId="7CE617AB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mluve až do výšky 120% z objednaného objemu elektriny. V prípade, že zmluvné množstvo prekročí 120% použije sa na prekročený objem maximálne cena, ktorá sa vypočíta ako vážený priemer ceny elektriny (cena PXE) obchodovanej denne, vynásobená príslušným koeficientom podľa dohody za obdobie, v ktorom došlo k prekročeniu</w:t>
      </w:r>
      <w:r w:rsidR="00F25778" w:rsidRPr="00AF3241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27E9162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Maximálna cena za neodobratú elektrinu v prípadoch, na ktoré sa nevzťahuje bod 2.</w:t>
      </w:r>
      <w:r w:rsidR="00820F22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>.2</w:t>
      </w:r>
      <w:r w:rsidR="00617975" w:rsidRPr="00AF3241">
        <w:rPr>
          <w:rFonts w:ascii="Arial Narrow" w:hAnsi="Arial Narrow" w:cs="Times New Roman"/>
        </w:rPr>
        <w:t xml:space="preserve"> tohto článku Zmluvy</w:t>
      </w:r>
      <w:r w:rsidR="00820F22" w:rsidRPr="00AF3241">
        <w:rPr>
          <w:rFonts w:ascii="Arial Narrow" w:hAnsi="Arial Narrow" w:cs="Times New Roman"/>
        </w:rPr>
        <w:t xml:space="preserve"> vyššie</w:t>
      </w:r>
      <w:r w:rsidRPr="00AF3241">
        <w:rPr>
          <w:rFonts w:ascii="Arial Narrow" w:hAnsi="Arial Narrow" w:cs="Times New Roman"/>
        </w:rPr>
        <w:t xml:space="preserve"> bude najviac vo výške</w:t>
      </w:r>
      <w:r w:rsidR="00DC0C55" w:rsidRPr="00AF3241">
        <w:rPr>
          <w:rFonts w:ascii="Arial Narrow" w:hAnsi="Arial Narrow" w:cs="Times New Roman"/>
        </w:rPr>
        <w:t xml:space="preserve"> určenej spôsobom podľa</w:t>
      </w:r>
      <w:r w:rsidRPr="00AF3241">
        <w:rPr>
          <w:rFonts w:ascii="Arial Narrow" w:hAnsi="Arial Narrow" w:cs="Times New Roman"/>
        </w:rPr>
        <w:t xml:space="preserve"> Príloh</w:t>
      </w:r>
      <w:r w:rsidR="00DC0C55" w:rsidRPr="00AF3241">
        <w:rPr>
          <w:rFonts w:ascii="Arial Narrow" w:hAnsi="Arial Narrow" w:cs="Times New Roman"/>
        </w:rPr>
        <w:t>y</w:t>
      </w:r>
      <w:r w:rsidRPr="00AF3241">
        <w:rPr>
          <w:rFonts w:ascii="Arial Narrow" w:hAnsi="Arial Narrow" w:cs="Times New Roman"/>
        </w:rPr>
        <w:t xml:space="preserve"> č. </w:t>
      </w:r>
      <w:r w:rsidR="006420D6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 xml:space="preserve"> tejto </w:t>
      </w:r>
      <w:r w:rsidR="00D9432E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v návrhu na plnenie pomocného kritéria.</w:t>
      </w:r>
    </w:p>
    <w:p w14:paraId="1CFB97C6" w14:textId="77777777" w:rsidR="00786E61" w:rsidRDefault="00786E61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592BDC" w14:textId="278E6669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0DDC5699" w14:textId="2248682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11EBABC2" w14:textId="7CE6E49F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>očakávať, zachovávajúc štandardy best practice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7E7844B2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779BD5B" w14:textId="7848442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25B32503" w14:textId="582ABFD4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Objednávateľovi </w:t>
      </w:r>
      <w:r w:rsidRPr="008F2C50">
        <w:rPr>
          <w:rFonts w:ascii="Arial Narrow" w:hAnsi="Arial Narrow" w:cs="Times New Roman"/>
        </w:rPr>
        <w:t>raz ročne</w:t>
      </w:r>
      <w:r w:rsidRPr="00AF3241">
        <w:rPr>
          <w:rFonts w:ascii="Arial Narrow" w:hAnsi="Arial Narrow" w:cs="Times New Roman"/>
        </w:rPr>
        <w:t xml:space="preserve"> spolu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>zákonom č. 251/2012 Z.z.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39D2BDC3" w14:textId="3BB0F171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>alebo má uzatvorenú zmluvu so zúčtovateľom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64C6AFD7" w14:textId="1375E58D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3554A851" w14:textId="4FD74BA4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v distribučnej sieti SR pre elektrinu s prevádzkovateľmi sústavy (Západoslovenská distribučná, a.s., Stredoslovenská distribučná, a.s., Východoslovenská distribučná, a.s.)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117DA9A6" w14:textId="0E2B58D1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4A1A72A0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38E6C6F0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4E5A5A94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049F057F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743BD7EC" w:rsidR="007946E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</w:t>
      </w:r>
      <w:r w:rsidRPr="00AF3241">
        <w:rPr>
          <w:rFonts w:ascii="Arial Narrow" w:hAnsi="Arial Narrow" w:cs="Times New Roman"/>
        </w:rPr>
        <w:lastRenderedPageBreak/>
        <w:t>skôr v prípade, že Objednávateľ uzatvorí zmluvu s novým dodávateľom elektriny, ktorým môže byť aj dodávateľ poslednej inštancie.</w:t>
      </w:r>
    </w:p>
    <w:p w14:paraId="1C70A18C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E48ACA6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3B2887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a.s. , Stredoslovenská energetika - Distribúcia, a.s. a Východoslovenská distribučná, a.s. a schválenej Úradom pre reguláciu sieťových odvetví. </w:t>
      </w:r>
    </w:p>
    <w:p w14:paraId="3DCEF306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AF3241" w:rsidRPr="00AF3241">
        <w:rPr>
          <w:rFonts w:ascii="Arial Narrow" w:hAnsi="Arial Narrow" w:cs="Times New Roman"/>
          <w:lang w:eastAsia="de-DE"/>
        </w:rPr>
        <w:t>ako suma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925D82">
        <w:rPr>
          <w:rFonts w:ascii="Arial Narrow" w:hAnsi="Arial Narrow" w:cs="Times New Roman"/>
          <w:lang w:eastAsia="de-DE"/>
        </w:rPr>
        <w:t xml:space="preserve"> bez DPH</w:t>
      </w:r>
      <w:r w:rsidR="00AF3241" w:rsidRPr="00AF3241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Z.z.,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683B20" w:rsidRPr="00AF3241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AF3241">
        <w:rPr>
          <w:rFonts w:ascii="Arial Narrow" w:hAnsi="Arial Narrow" w:cs="Times New Roman"/>
        </w:rPr>
        <w:t>;</w:t>
      </w:r>
    </w:p>
    <w:p w14:paraId="45B7FDB4" w14:textId="7859E9F5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3E8CAF58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AF3241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lastRenderedPageBreak/>
        <w:t xml:space="preserve">Spôsob určenia maximálnej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>č. 222/2004 Z.z.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68F65FC8" w14:textId="1DF31DD4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1480753F" w:rsidR="00F25778" w:rsidRPr="00AF3241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 sa dohodli, že podkladom pre</w:t>
      </w:r>
      <w:r w:rsidR="002848BB" w:rsidRPr="00AF3241">
        <w:rPr>
          <w:rFonts w:ascii="Arial Narrow" w:hAnsi="Arial Narrow" w:cs="Times New Roman"/>
        </w:rPr>
        <w:t xml:space="preserve"> určenie</w:t>
      </w:r>
      <w:r w:rsidRPr="00AF3241">
        <w:rPr>
          <w:rFonts w:ascii="Arial Narrow" w:hAnsi="Arial Narrow" w:cs="Times New Roman"/>
        </w:rPr>
        <w:t xml:space="preserve"> </w:t>
      </w:r>
      <w:r w:rsidR="00E21F64" w:rsidRPr="00AF3241">
        <w:rPr>
          <w:rFonts w:ascii="Arial Narrow" w:hAnsi="Arial Narrow" w:cs="Times New Roman"/>
        </w:rPr>
        <w:t>c</w:t>
      </w:r>
      <w:r w:rsidR="00570382" w:rsidRPr="00AF3241">
        <w:rPr>
          <w:rFonts w:ascii="Arial Narrow" w:hAnsi="Arial Narrow" w:cs="Times New Roman"/>
        </w:rPr>
        <w:t>eny</w:t>
      </w:r>
      <w:r w:rsidRPr="00AF3241">
        <w:rPr>
          <w:rFonts w:ascii="Arial Narrow" w:hAnsi="Arial Narrow" w:cs="Times New Roman"/>
        </w:rPr>
        <w:t xml:space="preserve"> podľa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AF3241">
        <w:rPr>
          <w:rFonts w:ascii="Arial Narrow" w:hAnsi="Arial Narrow" w:cs="Times New Roman"/>
        </w:rPr>
        <w:t xml:space="preserve"> vo Verejnom obstarávaní</w:t>
      </w:r>
      <w:r w:rsidRPr="00AF3241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AF3241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433DE6BE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29F0A18E" w14:textId="38CBAFF9" w:rsidR="00F25778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36DC509" w14:textId="77777777" w:rsidR="008F2C50" w:rsidRPr="00AF3241" w:rsidRDefault="008F2C5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367D34F2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CF56510" w:rsidR="00AB7B30" w:rsidRPr="004460B8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>Táto Z</w:t>
      </w:r>
      <w:r w:rsidR="002848BB" w:rsidRPr="004460B8">
        <w:rPr>
          <w:rFonts w:ascii="Arial Narrow" w:hAnsi="Arial Narrow" w:cs="Times New Roman"/>
        </w:rPr>
        <w:t>mluva sa uzatvára na dobu určitú, na obdobie od 01.0</w:t>
      </w:r>
      <w:r w:rsidR="008F2C50" w:rsidRPr="004460B8">
        <w:rPr>
          <w:rFonts w:ascii="Arial Narrow" w:hAnsi="Arial Narrow" w:cs="Times New Roman"/>
        </w:rPr>
        <w:t>7</w:t>
      </w:r>
      <w:r w:rsidR="002848BB" w:rsidRPr="004460B8">
        <w:rPr>
          <w:rFonts w:ascii="Arial Narrow" w:hAnsi="Arial Narrow" w:cs="Times New Roman"/>
        </w:rPr>
        <w:t>.202</w:t>
      </w:r>
      <w:r w:rsidR="008F2C50" w:rsidRPr="004460B8">
        <w:rPr>
          <w:rFonts w:ascii="Arial Narrow" w:hAnsi="Arial Narrow" w:cs="Times New Roman"/>
        </w:rPr>
        <w:t>3</w:t>
      </w:r>
      <w:r w:rsidR="002848BB" w:rsidRPr="004460B8">
        <w:rPr>
          <w:rFonts w:ascii="Arial Narrow" w:hAnsi="Arial Narrow" w:cs="Times New Roman"/>
        </w:rPr>
        <w:t xml:space="preserve"> do 3</w:t>
      </w:r>
      <w:r w:rsidR="008F2C50" w:rsidRPr="004460B8">
        <w:rPr>
          <w:rFonts w:ascii="Arial Narrow" w:hAnsi="Arial Narrow" w:cs="Times New Roman"/>
        </w:rPr>
        <w:t>0</w:t>
      </w:r>
      <w:r w:rsidR="002848BB" w:rsidRPr="004460B8">
        <w:rPr>
          <w:rFonts w:ascii="Arial Narrow" w:hAnsi="Arial Narrow" w:cs="Times New Roman"/>
        </w:rPr>
        <w:t>.</w:t>
      </w:r>
      <w:r w:rsidR="008F2C50" w:rsidRPr="004460B8">
        <w:rPr>
          <w:rFonts w:ascii="Arial Narrow" w:hAnsi="Arial Narrow" w:cs="Times New Roman"/>
        </w:rPr>
        <w:t>06</w:t>
      </w:r>
      <w:r w:rsidR="002848BB" w:rsidRPr="004460B8">
        <w:rPr>
          <w:rFonts w:ascii="Arial Narrow" w:hAnsi="Arial Narrow" w:cs="Times New Roman"/>
        </w:rPr>
        <w:t>.202</w:t>
      </w:r>
      <w:r w:rsidR="008F2C50" w:rsidRPr="004460B8">
        <w:rPr>
          <w:rFonts w:ascii="Arial Narrow" w:hAnsi="Arial Narrow" w:cs="Times New Roman"/>
        </w:rPr>
        <w:t>4</w:t>
      </w:r>
      <w:r w:rsidR="002848BB" w:rsidRPr="004460B8">
        <w:rPr>
          <w:rFonts w:ascii="Arial Narrow" w:hAnsi="Arial Narrow" w:cs="Times New Roman"/>
        </w:rPr>
        <w:t xml:space="preserve">. </w:t>
      </w:r>
    </w:p>
    <w:p w14:paraId="037162A4" w14:textId="77777777" w:rsidR="00AB7B30" w:rsidRPr="004460B8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4460B8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4460B8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72DD70FE" w14:textId="5FD41692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</w:t>
      </w:r>
      <w:r w:rsidRPr="008F2C50">
        <w:rPr>
          <w:rFonts w:ascii="Arial Narrow" w:hAnsi="Arial Narrow" w:cs="Times New Roman"/>
        </w:rPr>
        <w:t>podmienky účasti podľa </w:t>
      </w:r>
      <w:hyperlink r:id="rId8" w:anchor="paragraf-32.odsek-1.pismeno-a" w:tooltip="Odkaz na predpis alebo ustanovenie" w:history="1">
        <w:r w:rsidRPr="008F2C50">
          <w:rPr>
            <w:rFonts w:ascii="Arial Narrow" w:hAnsi="Arial Narrow" w:cs="Times New Roman"/>
          </w:rPr>
          <w:t>§ 32 ods. 1 písm. a)</w:t>
        </w:r>
      </w:hyperlink>
      <w:r w:rsidRPr="008F2C50">
        <w:rPr>
          <w:rFonts w:ascii="Arial Narrow" w:hAnsi="Arial Narrow" w:cs="Times New Roman"/>
        </w:rPr>
        <w:t xml:space="preserve"> Zákona o verejnom obstarávaní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 xml:space="preserve">ak táto </w:t>
      </w:r>
      <w:r w:rsidR="00A42BE3" w:rsidRPr="008F2C50">
        <w:rPr>
          <w:rFonts w:ascii="Arial Narrow" w:hAnsi="Arial Narrow" w:cs="Times New Roman"/>
        </w:rPr>
        <w:t xml:space="preserve">Zmluva </w:t>
      </w:r>
      <w:r w:rsidRPr="008F2C50">
        <w:rPr>
          <w:rFonts w:ascii="Arial Narrow" w:hAnsi="Arial Narrow" w:cs="Times New Roman"/>
        </w:rPr>
        <w:t>nemala byť uzavretá s</w:t>
      </w:r>
      <w:r w:rsidR="002B256F" w:rsidRPr="008F2C50">
        <w:rPr>
          <w:rFonts w:ascii="Arial Narrow" w:hAnsi="Arial Narrow" w:cs="Times New Roman"/>
        </w:rPr>
        <w:t> Poskytovateľom</w:t>
      </w:r>
      <w:r w:rsidRPr="008F2C50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 xml:space="preserve">v prípade, 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</w:t>
      </w:r>
      <w:r w:rsidRPr="00AF3241">
        <w:rPr>
          <w:rFonts w:ascii="Arial Narrow" w:hAnsi="Arial Narrow" w:cs="Times New Roman"/>
        </w:rPr>
        <w:lastRenderedPageBreak/>
        <w:t>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2A227EC6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2F63B04F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1E6F98D3" w14:textId="778A5FD4" w:rsidR="00281C0D" w:rsidRPr="00AF3241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AF3241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0686F67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5A3D8072" w:rsidR="00281C0D" w:rsidRPr="00AF3241" w:rsidRDefault="008F2C50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Datacentrum</w:t>
      </w:r>
    </w:p>
    <w:p w14:paraId="476A5B7F" w14:textId="116F3353" w:rsidR="00281C0D" w:rsidRPr="00AF3241" w:rsidRDefault="008F2C50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Cintorínska 5, 814 88 Bratislava</w:t>
      </w:r>
      <w:r w:rsidR="00281C0D" w:rsidRPr="00AF3241">
        <w:rPr>
          <w:rFonts w:ascii="Arial Narrow" w:hAnsi="Arial Narrow" w:cs="Times New Roman"/>
        </w:rPr>
        <w:t xml:space="preserve">, Slovenská republika </w:t>
      </w:r>
    </w:p>
    <w:p w14:paraId="38DE77D8" w14:textId="043FBCE5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email: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e-mail: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lastRenderedPageBreak/>
        <w:t>v čase jeho doručenia (alebo odmietnutia jeho prevzatia), pokiaľ sa doručuje osobne alebo kuriérom; alebo</w:t>
      </w:r>
    </w:p>
    <w:p w14:paraId="734E1C92" w14:textId="4158E443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čase jeho doručenia, ale najneskôr v piaty (5</w:t>
      </w:r>
      <w:r w:rsidR="000D5AF6" w:rsidRPr="00AF3241">
        <w:rPr>
          <w:rFonts w:ascii="Arial Narrow" w:hAnsi="Arial Narrow" w:cs="Times New Roman"/>
        </w:rPr>
        <w:t>.</w:t>
      </w:r>
      <w:r w:rsidRPr="00AF3241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AF3241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AF3241">
        <w:rPr>
          <w:rFonts w:ascii="Arial Narrow" w:hAnsi="Arial Narrow" w:cs="Times New Roman"/>
        </w:rPr>
        <w:t>Cena,</w:t>
      </w:r>
      <w:r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 xml:space="preserve">Spôsob určenia Odplaty, </w:t>
      </w:r>
      <w:r w:rsidRPr="00AF3241">
        <w:rPr>
          <w:rFonts w:ascii="Arial Narrow" w:hAnsi="Arial Narrow" w:cs="Times New Roman"/>
          <w:lang w:eastAsia="de-DE"/>
        </w:rPr>
        <w:t xml:space="preserve">Spôsob určenia maximálnej ceny, </w:t>
      </w:r>
      <w:r w:rsidRPr="00AF3241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podmienky fakturácie</w:t>
      </w:r>
      <w:r w:rsidR="00A21F40" w:rsidRPr="00AF3241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</w:t>
      </w:r>
      <w:r w:rsidR="00A21F40" w:rsidRPr="00AF3241">
        <w:rPr>
          <w:rFonts w:ascii="Arial Narrow" w:hAnsi="Arial Narrow" w:cs="Times New Roman"/>
        </w:rPr>
        <w:t>Ď</w:t>
      </w:r>
      <w:r w:rsidRPr="00AF3241">
        <w:rPr>
          <w:rFonts w:ascii="Arial Narrow" w:hAnsi="Arial Narrow" w:cs="Times New Roman"/>
        </w:rPr>
        <w:t>alšie podmienky poskytovania Zmluvného plnenia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A45695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31615A6A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B35E30" w:rsidRPr="004460B8">
        <w:rPr>
          <w:rFonts w:ascii="Arial Narrow" w:hAnsi="Arial Narrow" w:cs="Times New Roman"/>
        </w:rPr>
        <w:t>01.0</w:t>
      </w:r>
      <w:r w:rsidR="00AB12C6" w:rsidRPr="004460B8">
        <w:rPr>
          <w:rFonts w:ascii="Arial Narrow" w:hAnsi="Arial Narrow" w:cs="Times New Roman"/>
        </w:rPr>
        <w:t>7</w:t>
      </w:r>
      <w:r w:rsidR="00B35E30" w:rsidRPr="004460B8">
        <w:rPr>
          <w:rFonts w:ascii="Arial Narrow" w:hAnsi="Arial Narrow" w:cs="Times New Roman"/>
        </w:rPr>
        <w:t>.202</w:t>
      </w:r>
      <w:r w:rsidR="00AB12C6" w:rsidRPr="004460B8">
        <w:rPr>
          <w:rFonts w:ascii="Arial Narrow" w:hAnsi="Arial Narrow" w:cs="Times New Roman"/>
        </w:rPr>
        <w:t>3</w:t>
      </w:r>
      <w:r w:rsidR="00B35E30" w:rsidRPr="004460B8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1D5A3F55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Za </w:t>
      </w:r>
      <w:r w:rsidR="00AB12C6">
        <w:rPr>
          <w:rFonts w:ascii="Arial Narrow" w:eastAsia="Calibri" w:hAnsi="Arial Narrow" w:cs="Times New Roman"/>
        </w:rPr>
        <w:t>Datacentrum</w:t>
      </w:r>
      <w:r w:rsidRPr="00AF3241">
        <w:rPr>
          <w:rFonts w:ascii="Arial Narrow" w:eastAsia="Calibri" w:hAnsi="Arial Narrow" w:cs="Times New Roman"/>
        </w:rPr>
        <w:t>: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CB73DA">
        <w:rPr>
          <w:rFonts w:ascii="Arial Narrow" w:eastAsia="Calibri" w:hAnsi="Arial Narrow" w:cs="Times New Roman"/>
        </w:rPr>
        <w:tab/>
      </w:r>
      <w:r w:rsidR="00AB12C6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 xml:space="preserve">Za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583F4FA" w14:textId="77777777" w:rsidR="00FF3059" w:rsidRDefault="00FF305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E3A0E7" w14:textId="77777777" w:rsidR="00AB12C6" w:rsidRDefault="00AB12C6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12C35BDA" w14:textId="2A3C505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5D2E5684" w:rsidR="006420D6" w:rsidRPr="00AF3241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4BD94A1F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026806">
        <w:rPr>
          <w:rFonts w:ascii="Arial Narrow" w:hAnsi="Arial Narrow" w:cs="Times New Roman"/>
        </w:rPr>
        <w:t>Datacentra</w:t>
      </w:r>
      <w:r w:rsidRPr="00757A8D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1, v tejto Prílohe č. 2 </w:t>
      </w:r>
      <w:r>
        <w:rPr>
          <w:rFonts w:ascii="Arial Narrow" w:hAnsi="Arial Narrow" w:cs="Times New Roman"/>
        </w:rPr>
        <w:t>Z</w:t>
      </w:r>
      <w:r w:rsidRPr="00757A8D">
        <w:rPr>
          <w:rFonts w:ascii="Arial Narrow" w:hAnsi="Arial Narrow" w:cs="Times New Roman"/>
        </w:rPr>
        <w:t>mluvy.</w:t>
      </w:r>
    </w:p>
    <w:p w14:paraId="45C2411B" w14:textId="77777777" w:rsidR="00757A8D" w:rsidRDefault="00757A8D" w:rsidP="00757A8D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3F97F8F6" w14:textId="58C56A21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Obdobie poskytovani</w:t>
      </w:r>
      <w:r w:rsidRPr="004460B8">
        <w:rPr>
          <w:rFonts w:ascii="Arial Narrow" w:hAnsi="Arial Narrow" w:cs="Times New Roman"/>
        </w:rPr>
        <w:t>a služieb: od 01.0</w:t>
      </w:r>
      <w:r w:rsidR="00AB12C6" w:rsidRPr="004460B8">
        <w:rPr>
          <w:rFonts w:ascii="Arial Narrow" w:hAnsi="Arial Narrow" w:cs="Times New Roman"/>
        </w:rPr>
        <w:t>7</w:t>
      </w:r>
      <w:r w:rsidRPr="004460B8">
        <w:rPr>
          <w:rFonts w:ascii="Arial Narrow" w:hAnsi="Arial Narrow" w:cs="Times New Roman"/>
        </w:rPr>
        <w:t>.202</w:t>
      </w:r>
      <w:r w:rsidR="00AB12C6" w:rsidRPr="004460B8">
        <w:rPr>
          <w:rFonts w:ascii="Arial Narrow" w:hAnsi="Arial Narrow" w:cs="Times New Roman"/>
        </w:rPr>
        <w:t>3</w:t>
      </w:r>
      <w:r w:rsidRPr="004460B8">
        <w:rPr>
          <w:rFonts w:ascii="Arial Narrow" w:hAnsi="Arial Narrow" w:cs="Times New Roman"/>
        </w:rPr>
        <w:t xml:space="preserve"> od 00:00 hod. do 3</w:t>
      </w:r>
      <w:r w:rsidR="00AB12C6" w:rsidRPr="004460B8">
        <w:rPr>
          <w:rFonts w:ascii="Arial Narrow" w:hAnsi="Arial Narrow" w:cs="Times New Roman"/>
        </w:rPr>
        <w:t>0</w:t>
      </w:r>
      <w:r w:rsidRPr="004460B8">
        <w:rPr>
          <w:rFonts w:ascii="Arial Narrow" w:hAnsi="Arial Narrow" w:cs="Times New Roman"/>
        </w:rPr>
        <w:t>.</w:t>
      </w:r>
      <w:r w:rsidR="00AB12C6" w:rsidRPr="004460B8">
        <w:rPr>
          <w:rFonts w:ascii="Arial Narrow" w:hAnsi="Arial Narrow" w:cs="Times New Roman"/>
        </w:rPr>
        <w:t>06</w:t>
      </w:r>
      <w:r w:rsidRPr="004460B8">
        <w:rPr>
          <w:rFonts w:ascii="Arial Narrow" w:hAnsi="Arial Narrow" w:cs="Times New Roman"/>
        </w:rPr>
        <w:t>.202</w:t>
      </w:r>
      <w:r w:rsidR="00AB12C6" w:rsidRPr="004460B8">
        <w:rPr>
          <w:rFonts w:ascii="Arial Narrow" w:hAnsi="Arial Narrow" w:cs="Times New Roman"/>
        </w:rPr>
        <w:t>4</w:t>
      </w:r>
      <w:r w:rsidRPr="004460B8">
        <w:rPr>
          <w:rFonts w:ascii="Arial Narrow" w:hAnsi="Arial Narrow" w:cs="Times New Roman"/>
        </w:rPr>
        <w:t xml:space="preserve"> do 24:00 hod.</w:t>
      </w:r>
    </w:p>
    <w:p w14:paraId="4AA1701E" w14:textId="77777777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7777777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>Charakteristika odberných miest: prevažne administratívneho charakteru</w:t>
      </w:r>
    </w:p>
    <w:p w14:paraId="5C33699D" w14:textId="77777777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>Elektrina:</w:t>
      </w:r>
    </w:p>
    <w:p w14:paraId="42DE474A" w14:textId="75AD7ED9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0DA5B9D6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 xml:space="preserve">Predpoklad. objem odobratej elektriny počas obdobia poskytovania služieb: </w:t>
      </w:r>
      <w:r w:rsidR="00786E61" w:rsidRPr="004460B8">
        <w:rPr>
          <w:rFonts w:ascii="Arial Narrow" w:hAnsi="Arial Narrow"/>
          <w:color w:val="000000"/>
        </w:rPr>
        <w:t>2 200</w:t>
      </w:r>
      <w:r w:rsidRPr="004460B8">
        <w:rPr>
          <w:rFonts w:ascii="Arial Narrow" w:hAnsi="Arial Narrow" w:cs="Times New Roman"/>
        </w:rPr>
        <w:t xml:space="preserve"> MWh</w:t>
      </w:r>
    </w:p>
    <w:p w14:paraId="7FA8D86A" w14:textId="16EF8008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 xml:space="preserve">Predpoklad. hodnota zákazky za obdobie poskytovania služieb: </w:t>
      </w:r>
      <w:r w:rsidRPr="004460B8">
        <w:rPr>
          <w:color w:val="000000"/>
          <w:sz w:val="20"/>
          <w:szCs w:val="20"/>
        </w:rPr>
        <w:t>[</w:t>
      </w:r>
      <w:r w:rsidRPr="004460B8">
        <w:rPr>
          <w:color w:val="000000"/>
          <w:sz w:val="20"/>
          <w:szCs w:val="20"/>
        </w:rPr>
        <w:sym w:font="Wingdings" w:char="F09F"/>
      </w:r>
      <w:r w:rsidRPr="004460B8">
        <w:rPr>
          <w:color w:val="000000"/>
          <w:sz w:val="20"/>
          <w:szCs w:val="20"/>
        </w:rPr>
        <w:t>]</w:t>
      </w:r>
      <w:r w:rsidRPr="004460B8">
        <w:rPr>
          <w:rFonts w:ascii="Arial Narrow" w:hAnsi="Arial Narrow" w:cs="Times New Roman"/>
        </w:rPr>
        <w:t xml:space="preserve"> Eur bez DPH</w:t>
      </w:r>
    </w:p>
    <w:p w14:paraId="45FFEF1C" w14:textId="77777777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AE6C570" w14:textId="41083C68" w:rsidR="00757A8D" w:rsidRPr="004460B8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4460B8">
        <w:rPr>
          <w:rFonts w:ascii="Arial Narrow" w:hAnsi="Arial Narrow" w:cs="Times New Roman"/>
        </w:rPr>
        <w:t>Tabuľka č. 1</w:t>
      </w:r>
    </w:p>
    <w:p w14:paraId="74023121" w14:textId="77777777" w:rsidR="00757A8D" w:rsidRPr="004460B8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757A8D" w:rsidRPr="004460B8" w14:paraId="28DC7B6D" w14:textId="77777777" w:rsidTr="00757A8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013E8CA7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Predpoklad. objem odberu ( kWh ) od 01.0</w:t>
            </w:r>
            <w:r w:rsidR="00F03A0E" w:rsidRPr="004460B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4460B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F03A0E" w:rsidRPr="004460B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460B8">
              <w:rPr>
                <w:b/>
                <w:bCs/>
                <w:color w:val="000000"/>
                <w:sz w:val="20"/>
                <w:szCs w:val="20"/>
              </w:rPr>
              <w:t xml:space="preserve"> do 3</w:t>
            </w:r>
            <w:r w:rsidR="00F03A0E" w:rsidRPr="004460B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460B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03A0E" w:rsidRPr="004460B8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Pr="004460B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F03A0E" w:rsidRPr="004460B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77777777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59B67255" w:rsidR="00757A8D" w:rsidRPr="004460B8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5103A3" w14:textId="4B051C02" w:rsidR="00757A8D" w:rsidRPr="004460B8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Rezervovaná 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5DA16" w14:textId="084C4734" w:rsidR="00757A8D" w:rsidRPr="004460B8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0B8">
              <w:rPr>
                <w:b/>
                <w:bCs/>
                <w:color w:val="000000"/>
                <w:sz w:val="20"/>
                <w:szCs w:val="20"/>
              </w:rPr>
              <w:t>Max. rezerv. kapacita (kW)/ hodnota ističa (A)</w:t>
            </w:r>
          </w:p>
        </w:tc>
      </w:tr>
      <w:tr w:rsidR="00757A8D" w14:paraId="4253C10B" w14:textId="77777777" w:rsidTr="00757A8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757A8D" w:rsidRPr="004460B8" w:rsidRDefault="00757A8D" w:rsidP="00C02A72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27308E" w14:textId="77777777" w:rsidR="00786E61" w:rsidRPr="004460B8" w:rsidRDefault="00786E61" w:rsidP="00786E6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Datacentrum</w:t>
            </w:r>
          </w:p>
          <w:p w14:paraId="6544FDEB" w14:textId="2F792257" w:rsidR="00757A8D" w:rsidRPr="004460B8" w:rsidRDefault="00786E61" w:rsidP="00786E6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Cintorínska 5, 814 88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30263A4B" w:rsidR="00757A8D" w:rsidRPr="004460B8" w:rsidRDefault="00786E61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2 200 000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0D21587" w:rsidR="00757A8D" w:rsidRPr="004460B8" w:rsidRDefault="00757A8D" w:rsidP="00C02A72">
            <w:pPr>
              <w:pStyle w:val="In0"/>
              <w:spacing w:after="0" w:line="240" w:lineRule="auto"/>
              <w:ind w:firstLine="180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[</w:t>
            </w:r>
            <w:r w:rsidRPr="004460B8">
              <w:rPr>
                <w:color w:val="000000"/>
                <w:sz w:val="20"/>
                <w:szCs w:val="20"/>
              </w:rPr>
              <w:sym w:font="Wingdings" w:char="F09F"/>
            </w:r>
            <w:r w:rsidRPr="004460B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191F5AE3" w:rsidR="00757A8D" w:rsidRPr="004460B8" w:rsidRDefault="00786E61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24ZZS8065160000U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4ABA531E" w:rsidR="00757A8D" w:rsidRPr="004460B8" w:rsidRDefault="00786E61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77A9" w14:textId="0617A65A" w:rsidR="00757A8D" w:rsidRPr="004460B8" w:rsidRDefault="00786E61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546" w14:textId="2E39261B" w:rsidR="00757A8D" w:rsidRPr="004460B8" w:rsidRDefault="00786E61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0B8">
              <w:rPr>
                <w:color w:val="000000"/>
                <w:sz w:val="20"/>
                <w:szCs w:val="20"/>
              </w:rPr>
              <w:t>400/1000</w:t>
            </w:r>
          </w:p>
        </w:tc>
      </w:tr>
    </w:tbl>
    <w:p w14:paraId="3198CEC5" w14:textId="4E411C8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AF3241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D309C4" w14:textId="4B2A8EE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B90092" w14:textId="6657B3E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9DC770" w14:textId="38F8ECB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9D8723" w14:textId="76562A1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02FD83" w14:textId="532AB298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FF3059">
        <w:rPr>
          <w:rFonts w:ascii="Arial Narrow" w:hAnsi="Arial Narrow" w:cs="Times New Roman"/>
          <w:b/>
          <w:bCs/>
        </w:rPr>
        <w:t xml:space="preserve">Cena, Spôsob určenia Odplaty, </w:t>
      </w:r>
      <w:r>
        <w:rPr>
          <w:rFonts w:ascii="Arial Narrow" w:hAnsi="Arial Narrow" w:cs="Times New Roman"/>
          <w:b/>
          <w:bCs/>
        </w:rPr>
        <w:t>Spôsob určenia maximálnej ceny</w:t>
      </w:r>
    </w:p>
    <w:p w14:paraId="4A1D68EA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CB216E" w14:textId="77777777" w:rsidR="00AB12C6" w:rsidRPr="00DF3BB3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r w:rsidRPr="00DF3BB3">
        <w:rPr>
          <w:b/>
          <w:bCs/>
          <w:color w:val="000000"/>
          <w:lang w:eastAsia="cs-CZ" w:bidi="cs-CZ"/>
        </w:rPr>
        <w:t>Pojmy a definície</w:t>
      </w:r>
    </w:p>
    <w:p w14:paraId="27CE45EA" w14:textId="77777777" w:rsidR="00AB12C6" w:rsidRPr="00DF3BB3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</w:rPr>
      </w:pPr>
      <w:r w:rsidRPr="00DF3BB3">
        <w:rPr>
          <w:color w:val="000000"/>
          <w:lang w:eastAsia="cs-CZ" w:bidi="cs-CZ"/>
        </w:rPr>
        <w:t>Pre účely stanovenia Ceny</w:t>
      </w:r>
      <w:r w:rsidRPr="00DF3BB3">
        <w:rPr>
          <w:color w:val="000000"/>
        </w:rPr>
        <w:t xml:space="preserve"> za dodávku elektriny</w:t>
      </w:r>
      <w:r w:rsidRPr="00DF3BB3">
        <w:rPr>
          <w:color w:val="000000"/>
          <w:lang w:eastAsia="cs-CZ" w:bidi="cs-CZ"/>
        </w:rPr>
        <w:t xml:space="preserve"> sú rozhodujúce nasledovné pojmy, skratky, definície a vzorce:</w:t>
      </w:r>
    </w:p>
    <w:p w14:paraId="2F5CEA64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AB12C6" w:rsidRPr="00DF3BB3" w14:paraId="6BCE34F4" w14:textId="77777777" w:rsidTr="009F5EC8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A98C3A4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71961EBA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725AF98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57F3B486" w14:textId="77777777" w:rsidTr="009F5EC8">
        <w:tc>
          <w:tcPr>
            <w:tcW w:w="2548" w:type="dxa"/>
            <w:shd w:val="clear" w:color="auto" w:fill="auto"/>
            <w:vAlign w:val="center"/>
          </w:tcPr>
          <w:p w14:paraId="60D273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priebehovým meraním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mesačným odpočtom spotreby elektriny</w:t>
            </w:r>
          </w:p>
        </w:tc>
        <w:tc>
          <w:tcPr>
            <w:tcW w:w="849" w:type="dxa"/>
            <w:vAlign w:val="center"/>
          </w:tcPr>
          <w:p w14:paraId="04A8767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  <w:p w14:paraId="4DD67A11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815C427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Odberné miesta s priebehovým meraním podľa Pravidiel trhu § 2 bod c) </w:t>
            </w:r>
          </w:p>
          <w:p w14:paraId="3612EE2D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číslo 1. (priebehové meranie s možnosťou diaľkového odpočtu – meranie typu A) a </w:t>
            </w:r>
          </w:p>
          <w:p w14:paraId="0F47FE4E" w14:textId="77777777" w:rsidR="00AB12C6" w:rsidRPr="00DF3BB3" w:rsidRDefault="00AB12C6" w:rsidP="009F5EC8">
            <w:pPr>
              <w:pStyle w:val="Odsekzoznamu"/>
              <w:snapToGrid w:val="0"/>
              <w:spacing w:after="120"/>
              <w:ind w:left="358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</w:p>
        </w:tc>
      </w:tr>
      <w:tr w:rsidR="00AB12C6" w:rsidRPr="00DF3BB3" w14:paraId="67244A56" w14:textId="77777777" w:rsidTr="009F5EC8">
        <w:tc>
          <w:tcPr>
            <w:tcW w:w="2548" w:type="dxa"/>
            <w:shd w:val="clear" w:color="auto" w:fill="auto"/>
            <w:vAlign w:val="center"/>
          </w:tcPr>
          <w:p w14:paraId="3B616FB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bez priebehového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ročným odpočtom spotreby elektriny</w:t>
            </w:r>
          </w:p>
        </w:tc>
        <w:tc>
          <w:tcPr>
            <w:tcW w:w="849" w:type="dxa"/>
            <w:vAlign w:val="center"/>
          </w:tcPr>
          <w:p w14:paraId="2408978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C</w:t>
            </w:r>
          </w:p>
          <w:p w14:paraId="78AAD9A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4D6CEF4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priebehovým meraním podľa Pravidiel trhu § 2 bod c) číslo 3. (meranie bez priebehového merania a bez možnosti diaľkového odpočtu – meranie typu C)</w:t>
            </w:r>
          </w:p>
        </w:tc>
      </w:tr>
      <w:tr w:rsidR="00AB12C6" w:rsidRPr="00DF3BB3" w14:paraId="59E785D4" w14:textId="77777777" w:rsidTr="009F5EC8">
        <w:tc>
          <w:tcPr>
            <w:tcW w:w="2548" w:type="dxa"/>
            <w:shd w:val="clear" w:color="auto" w:fill="auto"/>
            <w:vAlign w:val="center"/>
          </w:tcPr>
          <w:p w14:paraId="7644B36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44A2B74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15D0DC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AB12C6" w:rsidRPr="00DF3BB3" w14:paraId="54258BFF" w14:textId="77777777" w:rsidTr="009F5EC8">
        <w:tc>
          <w:tcPr>
            <w:tcW w:w="2548" w:type="dxa"/>
            <w:shd w:val="clear" w:color="auto" w:fill="auto"/>
            <w:vAlign w:val="center"/>
          </w:tcPr>
          <w:p w14:paraId="220608B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C89CB4B" w14:textId="77777777" w:rsidR="00AB12C6" w:rsidRPr="00DF3BB3" w:rsidRDefault="00AB12C6" w:rsidP="009F5EC8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2D48E28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60270632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3F789BB0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AB12C6" w:rsidRPr="00DF3BB3" w14:paraId="4824A872" w14:textId="77777777" w:rsidTr="009F5EC8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F997EA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245B1D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56C46A0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3C7C4146" w14:textId="77777777" w:rsidTr="009F5EC8">
        <w:tc>
          <w:tcPr>
            <w:tcW w:w="2551" w:type="dxa"/>
            <w:shd w:val="clear" w:color="auto" w:fill="auto"/>
            <w:vAlign w:val="center"/>
          </w:tcPr>
          <w:p w14:paraId="415EFA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73C484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515B2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AB12C6" w:rsidRPr="00DF3BB3" w14:paraId="11F96E93" w14:textId="77777777" w:rsidTr="009F5EC8">
        <w:tc>
          <w:tcPr>
            <w:tcW w:w="2551" w:type="dxa"/>
            <w:shd w:val="clear" w:color="auto" w:fill="auto"/>
            <w:vAlign w:val="center"/>
          </w:tcPr>
          <w:p w14:paraId="05E0E49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1FAF07C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18C9D4E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AB12C6" w:rsidRPr="00DF3BB3" w14:paraId="28795524" w14:textId="77777777" w:rsidTr="009F5EC8">
        <w:tc>
          <w:tcPr>
            <w:tcW w:w="2551" w:type="dxa"/>
            <w:shd w:val="clear" w:color="auto" w:fill="auto"/>
            <w:vAlign w:val="center"/>
          </w:tcPr>
          <w:p w14:paraId="2913A9E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26A256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6D2B12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  <w:tr w:rsidR="00AB12C6" w:rsidRPr="00DF3BB3" w14:paraId="043D9D39" w14:textId="77777777" w:rsidTr="009F5EC8">
        <w:tc>
          <w:tcPr>
            <w:tcW w:w="2551" w:type="dxa"/>
            <w:shd w:val="clear" w:color="auto" w:fill="auto"/>
            <w:vAlign w:val="center"/>
          </w:tcPr>
          <w:p w14:paraId="51C400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</w:t>
            </w:r>
          </w:p>
        </w:tc>
        <w:tc>
          <w:tcPr>
            <w:tcW w:w="849" w:type="dxa"/>
            <w:vAlign w:val="center"/>
          </w:tcPr>
          <w:p w14:paraId="674682E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1717B9B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 s priebehovým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12C6" w:rsidRPr="00DF3BB3" w14:paraId="5B69E949" w14:textId="77777777" w:rsidTr="009F5EC8">
        <w:tc>
          <w:tcPr>
            <w:tcW w:w="2551" w:type="dxa"/>
            <w:shd w:val="clear" w:color="auto" w:fill="auto"/>
            <w:vAlign w:val="center"/>
          </w:tcPr>
          <w:p w14:paraId="4AC5361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</w:t>
            </w:r>
          </w:p>
        </w:tc>
        <w:tc>
          <w:tcPr>
            <w:tcW w:w="849" w:type="dxa"/>
            <w:vAlign w:val="center"/>
          </w:tcPr>
          <w:p w14:paraId="0AB9453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00A1D4B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 s priebehovým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92784F1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Veličiny</w:t>
      </w:r>
    </w:p>
    <w:tbl>
      <w:tblPr>
        <w:tblStyle w:val="Mriekatabuky"/>
        <w:tblW w:w="9242" w:type="dxa"/>
        <w:tblLayout w:type="fixed"/>
        <w:tblLook w:val="0600" w:firstRow="0" w:lastRow="0" w:firstColumn="0" w:lastColumn="0" w:noHBand="1" w:noVBand="1"/>
      </w:tblPr>
      <w:tblGrid>
        <w:gridCol w:w="2376"/>
        <w:gridCol w:w="851"/>
        <w:gridCol w:w="4536"/>
        <w:gridCol w:w="1479"/>
      </w:tblGrid>
      <w:tr w:rsidR="00AB12C6" w:rsidRPr="00DF3BB3" w14:paraId="425999B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4C23D45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594D4D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9B5CC1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1E62761B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 xml:space="preserve">Merná 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jednotka</w:t>
            </w:r>
          </w:p>
        </w:tc>
      </w:tr>
      <w:tr w:rsidR="00AB12C6" w:rsidRPr="00DF3BB3" w14:paraId="2BF47752" w14:textId="77777777" w:rsidTr="009F5EC8">
        <w:tc>
          <w:tcPr>
            <w:tcW w:w="2376" w:type="dxa"/>
            <w:shd w:val="clear" w:color="auto" w:fill="D5FC79"/>
          </w:tcPr>
          <w:p w14:paraId="0269D16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Aditívum</w:t>
            </w:r>
          </w:p>
        </w:tc>
        <w:tc>
          <w:tcPr>
            <w:tcW w:w="851" w:type="dxa"/>
            <w:shd w:val="clear" w:color="auto" w:fill="D5FC79"/>
          </w:tcPr>
          <w:p w14:paraId="30931571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536" w:type="dxa"/>
            <w:shd w:val="clear" w:color="auto" w:fill="D5FC79"/>
          </w:tcPr>
          <w:p w14:paraId="15AA4C4C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prirážka o ktorú sa zvýši Spotová cena (SPOT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Mh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),</w:t>
            </w:r>
          </w:p>
          <w:p w14:paraId="413DCB9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[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9F"/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(hodnota úspešného uchádzača) 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výsledok verejného obstarávania,</w:t>
            </w:r>
          </w:p>
          <w:p w14:paraId="7AB81A5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vyjadrené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číselne s 2 desatinnými miestami,</w:t>
            </w:r>
          </w:p>
          <w:p w14:paraId="03D8A96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after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nemenné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celého Zmluvného obdobia,</w:t>
            </w:r>
          </w:p>
        </w:tc>
        <w:tc>
          <w:tcPr>
            <w:tcW w:w="1479" w:type="dxa"/>
            <w:shd w:val="clear" w:color="auto" w:fill="D5FC79"/>
          </w:tcPr>
          <w:p w14:paraId="29E75D56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61CAE5BF" w14:textId="77777777" w:rsidTr="009F5EC8">
        <w:tc>
          <w:tcPr>
            <w:tcW w:w="2376" w:type="dxa"/>
            <w:shd w:val="clear" w:color="auto" w:fill="auto"/>
          </w:tcPr>
          <w:p w14:paraId="5C925EC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Spotová cena</w:t>
            </w:r>
          </w:p>
        </w:tc>
        <w:tc>
          <w:tcPr>
            <w:tcW w:w="851" w:type="dxa"/>
          </w:tcPr>
          <w:p w14:paraId="764AD7E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SPOT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Mh</w:t>
            </w:r>
          </w:p>
        </w:tc>
        <w:tc>
          <w:tcPr>
            <w:tcW w:w="4536" w:type="dxa"/>
            <w:shd w:val="clear" w:color="auto" w:fill="auto"/>
          </w:tcPr>
          <w:p w14:paraId="30498A1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ceny elektriny </w:t>
            </w:r>
            <w:r w:rsidRPr="00DF3BB3">
              <w:rPr>
                <w:rFonts w:ascii="Arial" w:hAnsi="Arial" w:cs="Arial"/>
                <w:sz w:val="16"/>
                <w:szCs w:val="16"/>
              </w:rPr>
              <w:t>na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krátkodobom trhu s elektrinou organizovanom spoločnosťou OKTE, a.s. (IČO: 45 687 862) v hodine h mesiaca M zverejnená na stránke </w:t>
            </w:r>
            <w:hyperlink r:id="rId9" w:history="1">
              <w:r w:rsidRPr="00DF3BB3">
                <w:rPr>
                  <w:rStyle w:val="Hypertextovprepojenie"/>
                  <w:rFonts w:ascii="Arial" w:eastAsia="PoloR" w:hAnsi="Arial" w:cs="Arial"/>
                  <w:sz w:val="16"/>
                  <w:szCs w:val="16"/>
                </w:rPr>
                <w:t>https://www.okte.sk/sk/kratkodoby-trh/zverejnenie-udajov-dt/podrobny-prehlad-dt/</w:t>
              </w:r>
            </w:hyperlink>
          </w:p>
        </w:tc>
        <w:tc>
          <w:tcPr>
            <w:tcW w:w="1479" w:type="dxa"/>
            <w:shd w:val="clear" w:color="auto" w:fill="auto"/>
          </w:tcPr>
          <w:p w14:paraId="10427D3A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248D4CCF" w14:textId="77777777" w:rsidTr="009F5EC8">
        <w:tc>
          <w:tcPr>
            <w:tcW w:w="2376" w:type="dxa"/>
            <w:shd w:val="clear" w:color="auto" w:fill="auto"/>
          </w:tcPr>
          <w:p w14:paraId="3FDCBBC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lastRenderedPageBreak/>
              <w:t xml:space="preserve">Skutočná hodinová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121BE67C" w14:textId="77777777" w:rsidR="00AB12C6" w:rsidRPr="00DF3BB3" w:rsidRDefault="00AB12C6" w:rsidP="009F5EC8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ZMh</w:t>
            </w:r>
          </w:p>
        </w:tc>
        <w:tc>
          <w:tcPr>
            <w:tcW w:w="4536" w:type="dxa"/>
            <w:shd w:val="clear" w:color="auto" w:fill="auto"/>
          </w:tcPr>
          <w:p w14:paraId="5365D0D4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množstvo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spotrebovanej elektriny v hodine h mesiaca M v konkrétnom OMA podľa údajov určeného meradla,</w:t>
            </w:r>
          </w:p>
          <w:p w14:paraId="04092E2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after="12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údaje o spotrebe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poskytuje Poskytovateľovi príslušná PDS v zmysle príslušných predpisov, ktorými sa stanovujú podrobnosti merania elektriny a odovzdávania technických údajov a podľa Prevádzkového poriadku</w:t>
            </w:r>
          </w:p>
        </w:tc>
        <w:tc>
          <w:tcPr>
            <w:tcW w:w="1479" w:type="dxa"/>
            <w:shd w:val="clear" w:color="auto" w:fill="auto"/>
          </w:tcPr>
          <w:p w14:paraId="6F3D7A64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  <w:tr w:rsidR="00AB12C6" w:rsidRPr="00DF3BB3" w14:paraId="2B38EFFA" w14:textId="77777777" w:rsidTr="009F5EC8">
        <w:tc>
          <w:tcPr>
            <w:tcW w:w="2376" w:type="dxa"/>
            <w:shd w:val="clear" w:color="auto" w:fill="auto"/>
          </w:tcPr>
          <w:p w14:paraId="5BC86C0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mesačná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2E61A2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536" w:type="dxa"/>
            <w:shd w:val="clear" w:color="auto" w:fill="auto"/>
          </w:tcPr>
          <w:p w14:paraId="4086CF9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 mesiaci M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0ED6CA3F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bCs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ZMh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1198610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  <w:tr w:rsidR="00AB12C6" w:rsidRPr="00DF3BB3" w14:paraId="18C03258" w14:textId="77777777" w:rsidTr="009F5EC8">
        <w:tc>
          <w:tcPr>
            <w:tcW w:w="2376" w:type="dxa"/>
            <w:shd w:val="clear" w:color="auto" w:fill="auto"/>
          </w:tcPr>
          <w:p w14:paraId="425B0D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ročná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A1B429B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</w:t>
            </w:r>
          </w:p>
        </w:tc>
        <w:tc>
          <w:tcPr>
            <w:tcW w:w="4536" w:type="dxa"/>
            <w:shd w:val="clear" w:color="auto" w:fill="auto"/>
          </w:tcPr>
          <w:p w14:paraId="42D70E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Zmluvného obdobia</w:t>
            </w:r>
          </w:p>
          <w:p w14:paraId="4F46997A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27AB6B5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</w:tbl>
    <w:p w14:paraId="205825B9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Vzorce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372"/>
        <w:gridCol w:w="795"/>
        <w:gridCol w:w="4597"/>
        <w:gridCol w:w="1416"/>
      </w:tblGrid>
      <w:tr w:rsidR="00AB12C6" w:rsidRPr="00DF3BB3" w14:paraId="1DEF372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0ABF62F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01049F6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604" w:type="dxa"/>
            <w:shd w:val="clear" w:color="auto" w:fill="F2F2F2" w:themeFill="background1" w:themeFillShade="F2"/>
            <w:vAlign w:val="center"/>
          </w:tcPr>
          <w:p w14:paraId="5BF21099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739A31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Merná jednotka</w:t>
            </w:r>
          </w:p>
        </w:tc>
      </w:tr>
      <w:tr w:rsidR="00AB12C6" w:rsidRPr="00DF3BB3" w14:paraId="6968CEBB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D227AB2" w14:textId="77777777" w:rsidR="00AB12C6" w:rsidRPr="00DF3BB3" w:rsidRDefault="00AB12C6" w:rsidP="009F5EC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2ECA0815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17A4EC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pre konkrétne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 mesiaci M</w:t>
            </w:r>
          </w:p>
          <w:p w14:paraId="2D142F79" w14:textId="77777777" w:rsidR="00AB12C6" w:rsidRPr="00DF3BB3" w:rsidRDefault="00CD55CB" w:rsidP="009F5EC8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h=1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m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SPOT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Mh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+A)×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ZMh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7A6E02A8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561DCF28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4CFC4C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61BC24BC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09DA2D9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týka sa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konkrétneho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 mesiaci M</w:t>
            </w:r>
          </w:p>
          <w:p w14:paraId="1214E0C4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predstavuj</w:t>
            </w:r>
            <w:r w:rsidRPr="00DF3BB3">
              <w:rPr>
                <w:rFonts w:ascii="Arial" w:hAnsi="Arial" w:cs="Arial"/>
                <w:sz w:val="16"/>
                <w:szCs w:val="16"/>
              </w:rPr>
              <w:t>e súčin Jednotkovej ceny za dodávku elektriny a spotreby elektriny</w:t>
            </w:r>
          </w:p>
          <w:p w14:paraId="45FF74ED" w14:textId="77777777" w:rsidR="00AB12C6" w:rsidRPr="00DF3BB3" w:rsidRDefault="00CD55CB" w:rsidP="009F5EC8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C'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</m:oMath>
            <w:r w:rsidR="00AB12C6" w:rsidRPr="00DF3BB3">
              <w:rPr>
                <w:rFonts w:ascii="Arial" w:hAnsi="Arial" w:cs="Arial"/>
                <w:sz w:val="16"/>
                <w:szCs w:val="16"/>
              </w:rPr>
              <w:t>, resp.</w:t>
            </w:r>
          </w:p>
          <w:p w14:paraId="74358B00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SPOT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Mh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+A)×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ZMh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45227636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103BE4B3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50A10DB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v mesiaci M</w:t>
            </w:r>
          </w:p>
        </w:tc>
        <w:tc>
          <w:tcPr>
            <w:tcW w:w="783" w:type="dxa"/>
            <w:vAlign w:val="center"/>
          </w:tcPr>
          <w:p w14:paraId="4D97292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auto"/>
          </w:tcPr>
          <w:p w14:paraId="3B137013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BF62BD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3BB5BB8A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64C15A34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počas Zmluvného obdobia</w:t>
            </w:r>
          </w:p>
        </w:tc>
        <w:tc>
          <w:tcPr>
            <w:tcW w:w="783" w:type="dxa"/>
            <w:vAlign w:val="center"/>
          </w:tcPr>
          <w:p w14:paraId="68AE590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auto"/>
          </w:tcPr>
          <w:p w14:paraId="039B319A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CA874E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59C567B6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45E86E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Priemerná jednotková cena za dodávku elektriny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00F28E1A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D5FC79"/>
          </w:tcPr>
          <w:p w14:paraId="74421F2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týka sa celého Zmluvného obdobia a predstavuje podiel Ceny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a Skutočnej ročnej spotreby všetkých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27B34091" w14:textId="77777777" w:rsidR="00AB12C6" w:rsidRPr="00DF3BB3" w:rsidRDefault="00CD55CB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Z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22C0CEAC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</w:tbl>
    <w:p w14:paraId="0528990C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0184125E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>Odberné miesta s priebehovým meraním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A</w:t>
      </w:r>
      <w:r w:rsidRPr="00694AB8">
        <w:rPr>
          <w:b/>
          <w:bCs/>
          <w:color w:val="000000"/>
          <w:lang w:eastAsia="cs-CZ" w:bidi="cs-CZ"/>
        </w:rPr>
        <w:t>.</w:t>
      </w:r>
    </w:p>
    <w:p w14:paraId="42C14BAF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je stanovená podľa vzorca pre C’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 xml:space="preserve">. </w:t>
      </w:r>
    </w:p>
    <w:p w14:paraId="0C81408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Cena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v príslušnom kalendárnom mesiaci (Fakturačnom období) sa vypočíta ako súčin Jednotkovej ceny za dodávku elektriny a skutočnej spotreby elektriny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podľa vzorca pre C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  <w:r w:rsidRPr="00694AB8">
        <w:rPr>
          <w:color w:val="000000"/>
        </w:rPr>
        <w:t xml:space="preserve"> </w:t>
      </w:r>
      <w:r w:rsidRPr="00694AB8">
        <w:rPr>
          <w:color w:val="000000"/>
          <w:lang w:eastAsia="cs-CZ" w:bidi="cs-CZ"/>
        </w:rPr>
        <w:t>(ďalej len „</w:t>
      </w:r>
      <w:r w:rsidRPr="00694AB8">
        <w:rPr>
          <w:b/>
          <w:bCs/>
          <w:color w:val="000000"/>
          <w:lang w:eastAsia="cs-CZ" w:bidi="cs-CZ"/>
        </w:rPr>
        <w:t>Cena za dodávku elektriny 1</w:t>
      </w:r>
      <w:r w:rsidRPr="00694AB8">
        <w:rPr>
          <w:color w:val="000000"/>
          <w:lang w:eastAsia="cs-CZ" w:bidi="cs-CZ"/>
        </w:rPr>
        <w:t>“).</w:t>
      </w:r>
    </w:p>
    <w:p w14:paraId="5594888D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</w:p>
    <w:p w14:paraId="3E477472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>Odberné miesta bez priebehového merania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C</w:t>
      </w:r>
      <w:r w:rsidRPr="00694AB8">
        <w:rPr>
          <w:b/>
          <w:bCs/>
          <w:color w:val="000000"/>
          <w:lang w:eastAsia="cs-CZ" w:bidi="cs-CZ"/>
        </w:rPr>
        <w:t>.</w:t>
      </w:r>
    </w:p>
    <w:p w14:paraId="564B107B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je zhodná s Priemernou jednotkovou cenou za dodávku elektriny do všetkých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za celé Zmluvné obdobie a je stanovená podľa vzorca pre P’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</w:p>
    <w:p w14:paraId="18C41B1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lastRenderedPageBreak/>
        <w:t>Cena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sa vypočíta súčin Priemernej jednotkovej ceny za dodávku elektriny a skutočnej spotreby elektriny príslušného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(ďalej len „</w:t>
      </w:r>
      <w:r w:rsidRPr="00694AB8">
        <w:rPr>
          <w:b/>
          <w:bCs/>
          <w:color w:val="000000"/>
          <w:lang w:eastAsia="cs-CZ" w:bidi="cs-CZ"/>
        </w:rPr>
        <w:t>Cena za dodávku elektriny 2</w:t>
      </w:r>
      <w:r w:rsidRPr="00694AB8">
        <w:rPr>
          <w:color w:val="000000"/>
          <w:lang w:eastAsia="cs-CZ" w:bidi="cs-CZ"/>
        </w:rPr>
        <w:t>“).</w:t>
      </w:r>
    </w:p>
    <w:p w14:paraId="184C93B4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126223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4BA849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5DD3E201" w:rsidR="00DC0C55" w:rsidRDefault="00DC0C55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548FB605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207A9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994EF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A77D6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76E00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7DBA5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63A71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0D8F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499DB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337E5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82E2A7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3DE53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8FC3A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50BE0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C95B68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689340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9E1DED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4EEF31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F001E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86119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5DFF2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11B26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F6581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9F0E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FF0688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AA3CD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EBD43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D3A74A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69985C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AAEFB96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F69BD5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0C51B4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B3ADD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21A69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FFD3C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0C2FF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697886D7" w:rsidR="001F3866" w:rsidRPr="002150EF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1" w:name="bookmark63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>a podmienky fakturácie</w:t>
      </w:r>
      <w:bookmarkEnd w:id="1"/>
    </w:p>
    <w:p w14:paraId="4FD9E5DC" w14:textId="77777777" w:rsidR="002150EF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03F9092A" w:rsidR="001F3866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>Odplatu</w:t>
      </w:r>
      <w:r w:rsidR="001F3866">
        <w:rPr>
          <w:color w:val="000000"/>
          <w:lang w:val="cs-CZ" w:eastAsia="cs-CZ" w:bidi="cs-CZ"/>
        </w:rPr>
        <w:t xml:space="preserve"> za dodávku elektriny a distribučné služby je </w:t>
      </w:r>
      <w:r w:rsidR="001F3866">
        <w:rPr>
          <w:color w:val="000000"/>
          <w:lang w:eastAsia="sk-SK" w:bidi="sk-SK"/>
        </w:rPr>
        <w:t xml:space="preserve">Poskytovateľ </w:t>
      </w:r>
      <w:r w:rsidR="001F3866">
        <w:rPr>
          <w:color w:val="000000"/>
          <w:lang w:val="cs-CZ" w:eastAsia="cs-CZ" w:bidi="cs-CZ"/>
        </w:rPr>
        <w:t xml:space="preserve">oprávnený fakturovať jednou spoločnou faktúrou pre odbery s ročným vyúčtovaním a jednou spoločnou faktúrou pre odbery s mesačným vyúčtovaním. Zmluvné strany sa </w:t>
      </w:r>
      <w:r w:rsidR="001F3866">
        <w:rPr>
          <w:color w:val="000000"/>
          <w:lang w:eastAsia="sk-SK" w:bidi="sk-SK"/>
        </w:rPr>
        <w:t xml:space="preserve">môžu </w:t>
      </w:r>
      <w:r w:rsidR="001F3866">
        <w:rPr>
          <w:color w:val="000000"/>
          <w:lang w:val="cs-CZ" w:eastAsia="cs-CZ" w:bidi="cs-CZ"/>
        </w:rPr>
        <w:t xml:space="preserve">priebežne počas trvania </w:t>
      </w:r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 dohodnúť na zmene začlenenia jednotlivých odberných miest do spoločnej fakturácie.</w:t>
      </w:r>
    </w:p>
    <w:p w14:paraId="01F3ECFE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>
        <w:rPr>
          <w:color w:val="000000"/>
          <w:lang w:val="cs-CZ" w:eastAsia="cs-CZ" w:bidi="cs-CZ"/>
        </w:rPr>
        <w:t>Faktúry sa vystavujú spoločne za dodávku elektriny a distribučné služby.</w:t>
      </w:r>
    </w:p>
    <w:p w14:paraId="05D77FC1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Faktúra musí obsahovať všetky náležitosti stanovené platnými daňovými a účtovnými predpismi vrátane informácie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>z. č. 251/2012 Z. z. o energetike a o zmene a doplnení niektorých zákonov.</w:t>
      </w:r>
    </w:p>
    <w:p w14:paraId="374CBA6D" w14:textId="769266A4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elektriny sa </w:t>
      </w:r>
      <w:r>
        <w:rPr>
          <w:color w:val="000000"/>
          <w:lang w:eastAsia="sk-SK" w:bidi="sk-SK"/>
        </w:rPr>
        <w:t xml:space="preserve">zaväzuje </w:t>
      </w:r>
      <w:r>
        <w:rPr>
          <w:color w:val="000000"/>
          <w:lang w:val="cs-CZ" w:eastAsia="cs-CZ" w:bidi="cs-CZ"/>
        </w:rPr>
        <w:t xml:space="preserve">uhrádzať preddavky za dodávku elektriny a distribučné služby, pričom výška preddavkov, ich počet, termíny alebo </w:t>
      </w:r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platieb preddavkov sa </w:t>
      </w:r>
      <w:r>
        <w:rPr>
          <w:color w:val="000000"/>
          <w:lang w:eastAsia="sk-SK" w:bidi="sk-SK"/>
        </w:rPr>
        <w:t xml:space="preserve">môže </w:t>
      </w:r>
      <w:r>
        <w:rPr>
          <w:color w:val="000000"/>
          <w:lang w:val="cs-CZ" w:eastAsia="cs-CZ" w:bidi="cs-CZ"/>
        </w:rPr>
        <w:t xml:space="preserve">počas trvania </w:t>
      </w:r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 zmeniť po dohode Zmluvných strán.</w:t>
      </w:r>
    </w:p>
    <w:p w14:paraId="1598B19F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vystavovať Vyúčtovaciu faktúru za dodávku elektriny a distribučné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odpočtom </w:t>
      </w:r>
      <w:r>
        <w:rPr>
          <w:color w:val="000000"/>
          <w:lang w:val="cs-CZ" w:eastAsia="cs-CZ" w:bidi="cs-CZ"/>
        </w:rPr>
        <w:t xml:space="preserve">k poslednému dňu príslušného roka. Vo vyúčtovacej faktúre za dodávku elektriny a distribučné služby sa odpočítajú preddavky, ktoré boli </w:t>
      </w:r>
      <w:r>
        <w:rPr>
          <w:color w:val="000000"/>
          <w:lang w:eastAsia="sk-SK" w:bidi="sk-SK"/>
        </w:rPr>
        <w:t xml:space="preserve">Objednávateľom </w:t>
      </w:r>
      <w:r>
        <w:rPr>
          <w:color w:val="000000"/>
          <w:lang w:val="cs-CZ" w:eastAsia="cs-CZ" w:bidi="cs-CZ"/>
        </w:rPr>
        <w:t xml:space="preserve">uhradené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>za príslušný rok.</w:t>
      </w:r>
    </w:p>
    <w:p w14:paraId="1DE2D6A3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vystavovať Vyúčtovaciu faktúru za dodávku elektriny a distribučné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mesačným odpočtom </w:t>
      </w:r>
      <w:r>
        <w:rPr>
          <w:color w:val="000000"/>
          <w:lang w:val="cs-CZ" w:eastAsia="cs-CZ" w:bidi="cs-CZ"/>
        </w:rPr>
        <w:t xml:space="preserve">k poslednému dňu príslušného mesiaca. Vo vyúčtovacej faktúre za dodávku elektriny a distribučné služby sa odpočítajú preddavky, ktoré boli </w:t>
      </w:r>
      <w:r>
        <w:rPr>
          <w:color w:val="000000"/>
          <w:lang w:eastAsia="sk-SK" w:bidi="sk-SK"/>
        </w:rPr>
        <w:t xml:space="preserve">Objednávateľom </w:t>
      </w:r>
      <w:r>
        <w:rPr>
          <w:color w:val="000000"/>
          <w:lang w:val="cs-CZ" w:eastAsia="cs-CZ" w:bidi="cs-CZ"/>
        </w:rPr>
        <w:t xml:space="preserve">uhradené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>za príslušný mesiac.</w:t>
      </w:r>
    </w:p>
    <w:p w14:paraId="2250F5B2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nedoplatok v lehote splatnosti faktúry.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vráti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preplatok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>v termíne do dátumu splatnosti faktúry.</w:t>
      </w:r>
    </w:p>
    <w:p w14:paraId="16EE7646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r>
        <w:rPr>
          <w:color w:val="000000"/>
          <w:lang w:val="cs-CZ" w:eastAsia="cs-CZ" w:bidi="cs-CZ"/>
        </w:rPr>
        <w:t xml:space="preserve">Splatnosť faktúry je 30 dní odo dňa riadneho doručenia faktúry </w:t>
      </w:r>
      <w:r>
        <w:rPr>
          <w:color w:val="000000"/>
          <w:lang w:eastAsia="sk-SK" w:bidi="sk-SK"/>
        </w:rPr>
        <w:t>Objednávateľovi.</w:t>
      </w:r>
    </w:p>
    <w:p w14:paraId="553C0F47" w14:textId="77777777" w:rsidR="001F3866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5"/>
      <w:r>
        <w:rPr>
          <w:color w:val="000000"/>
          <w:lang w:val="cs-CZ" w:eastAsia="cs-CZ" w:bidi="cs-CZ"/>
        </w:rPr>
        <w:t>Ďalšie podmienky poskytovania predmetu zákazky</w:t>
      </w:r>
      <w:bookmarkEnd w:id="2"/>
    </w:p>
    <w:p w14:paraId="7C230B4E" w14:textId="59F40F30" w:rsidR="001F3866" w:rsidRPr="004460B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sa </w:t>
      </w:r>
      <w:r>
        <w:rPr>
          <w:color w:val="000000"/>
          <w:lang w:eastAsia="sk-SK" w:bidi="sk-SK"/>
        </w:rPr>
        <w:t xml:space="preserve">zaväzuje </w:t>
      </w:r>
      <w:r>
        <w:rPr>
          <w:color w:val="000000"/>
          <w:lang w:val="cs-CZ" w:eastAsia="cs-CZ" w:bidi="cs-CZ"/>
        </w:rPr>
        <w:t xml:space="preserve">zabezpečiť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distribúciu elektriny, ako aj komplexné </w:t>
      </w:r>
      <w:bookmarkStart w:id="3" w:name="_GoBack"/>
      <w:bookmarkEnd w:id="3"/>
      <w:r w:rsidRPr="004460B8">
        <w:rPr>
          <w:color w:val="000000"/>
          <w:lang w:val="cs-CZ" w:eastAsia="cs-CZ" w:bidi="cs-CZ"/>
        </w:rPr>
        <w:t xml:space="preserve">služby spojené s bezpečnou, stabilnou a komplexnou dodávkou a distribúciou elektriny pre odberné miesta </w:t>
      </w:r>
      <w:r w:rsidRPr="004460B8">
        <w:rPr>
          <w:color w:val="000000"/>
          <w:lang w:eastAsia="sk-SK" w:bidi="sk-SK"/>
        </w:rPr>
        <w:t xml:space="preserve">Objednávateľa </w:t>
      </w:r>
      <w:r w:rsidRPr="004460B8">
        <w:rPr>
          <w:color w:val="000000"/>
          <w:lang w:val="cs-CZ" w:eastAsia="cs-CZ" w:bidi="cs-CZ"/>
        </w:rPr>
        <w:t xml:space="preserve">uvedené v prílohe č. 2 tejto </w:t>
      </w:r>
      <w:r w:rsidR="002150EF" w:rsidRPr="004460B8">
        <w:rPr>
          <w:color w:val="000000"/>
          <w:lang w:val="cs-CZ" w:eastAsia="cs-CZ" w:bidi="cs-CZ"/>
        </w:rPr>
        <w:t>Z</w:t>
      </w:r>
      <w:r w:rsidRPr="004460B8">
        <w:rPr>
          <w:color w:val="000000"/>
          <w:lang w:val="cs-CZ" w:eastAsia="cs-CZ" w:bidi="cs-CZ"/>
        </w:rPr>
        <w:t xml:space="preserve">mluvy, v čase </w:t>
      </w:r>
      <w:r w:rsidRPr="004460B8">
        <w:rPr>
          <w:b/>
          <w:bCs/>
          <w:color w:val="000000"/>
          <w:lang w:val="cs-CZ" w:eastAsia="cs-CZ" w:bidi="cs-CZ"/>
        </w:rPr>
        <w:t>od 01.0</w:t>
      </w:r>
      <w:r w:rsidR="00AB12C6" w:rsidRPr="004460B8">
        <w:rPr>
          <w:b/>
          <w:bCs/>
          <w:color w:val="000000"/>
          <w:lang w:val="cs-CZ" w:eastAsia="cs-CZ" w:bidi="cs-CZ"/>
        </w:rPr>
        <w:t>7</w:t>
      </w:r>
      <w:r w:rsidRPr="004460B8">
        <w:rPr>
          <w:b/>
          <w:bCs/>
          <w:color w:val="000000"/>
          <w:lang w:val="cs-CZ" w:eastAsia="cs-CZ" w:bidi="cs-CZ"/>
        </w:rPr>
        <w:t>.202</w:t>
      </w:r>
      <w:r w:rsidR="00AB12C6" w:rsidRPr="004460B8">
        <w:rPr>
          <w:b/>
          <w:bCs/>
          <w:color w:val="000000"/>
          <w:lang w:val="cs-CZ" w:eastAsia="cs-CZ" w:bidi="cs-CZ"/>
        </w:rPr>
        <w:t>3</w:t>
      </w:r>
      <w:r w:rsidRPr="004460B8">
        <w:rPr>
          <w:b/>
          <w:bCs/>
          <w:color w:val="000000"/>
          <w:lang w:val="cs-CZ" w:eastAsia="cs-CZ" w:bidi="cs-CZ"/>
        </w:rPr>
        <w:t xml:space="preserve"> 00:00:00 hodiny do 3</w:t>
      </w:r>
      <w:r w:rsidR="00AB12C6" w:rsidRPr="004460B8">
        <w:rPr>
          <w:b/>
          <w:bCs/>
          <w:color w:val="000000"/>
          <w:lang w:val="cs-CZ" w:eastAsia="cs-CZ" w:bidi="cs-CZ"/>
        </w:rPr>
        <w:t>0</w:t>
      </w:r>
      <w:r w:rsidRPr="004460B8">
        <w:rPr>
          <w:b/>
          <w:bCs/>
          <w:color w:val="000000"/>
          <w:lang w:val="cs-CZ" w:eastAsia="cs-CZ" w:bidi="cs-CZ"/>
        </w:rPr>
        <w:t>.</w:t>
      </w:r>
      <w:r w:rsidR="00AB12C6" w:rsidRPr="004460B8">
        <w:rPr>
          <w:b/>
          <w:bCs/>
          <w:color w:val="000000"/>
          <w:lang w:val="cs-CZ" w:eastAsia="cs-CZ" w:bidi="cs-CZ"/>
        </w:rPr>
        <w:t>06</w:t>
      </w:r>
      <w:r w:rsidRPr="004460B8">
        <w:rPr>
          <w:b/>
          <w:bCs/>
          <w:color w:val="000000"/>
          <w:lang w:val="cs-CZ" w:eastAsia="cs-CZ" w:bidi="cs-CZ"/>
        </w:rPr>
        <w:t>.202</w:t>
      </w:r>
      <w:r w:rsidR="00AB12C6" w:rsidRPr="004460B8">
        <w:rPr>
          <w:b/>
          <w:bCs/>
          <w:color w:val="000000"/>
          <w:lang w:val="cs-CZ" w:eastAsia="cs-CZ" w:bidi="cs-CZ"/>
        </w:rPr>
        <w:t>4</w:t>
      </w:r>
      <w:r w:rsidRPr="004460B8">
        <w:rPr>
          <w:b/>
          <w:bCs/>
          <w:color w:val="000000"/>
          <w:lang w:val="cs-CZ" w:eastAsia="cs-CZ" w:bidi="cs-CZ"/>
        </w:rPr>
        <w:t xml:space="preserve"> 24:00:00 hodiny.</w:t>
      </w:r>
    </w:p>
    <w:p w14:paraId="67759A7B" w14:textId="5917243A" w:rsidR="001F3866" w:rsidRPr="004460B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4460B8">
        <w:rPr>
          <w:color w:val="000000"/>
          <w:lang w:eastAsia="sk-SK" w:bidi="sk-SK"/>
        </w:rPr>
        <w:t xml:space="preserve">Objednávateľ </w:t>
      </w:r>
      <w:r w:rsidRPr="004460B8">
        <w:rPr>
          <w:color w:val="000000"/>
          <w:lang w:val="cs-CZ" w:eastAsia="cs-CZ" w:bidi="cs-CZ"/>
        </w:rPr>
        <w:t xml:space="preserve">bude mať zabezpečenú individuálnu klientsku starostlivosť/obsluhu pre všetky odberné miesta uvedené v prílohe č. 2 tejto </w:t>
      </w:r>
      <w:r w:rsidR="002150EF" w:rsidRPr="004460B8">
        <w:rPr>
          <w:color w:val="000000"/>
          <w:lang w:val="cs-CZ" w:eastAsia="cs-CZ" w:bidi="cs-CZ"/>
        </w:rPr>
        <w:t>Z</w:t>
      </w:r>
      <w:r w:rsidRPr="004460B8">
        <w:rPr>
          <w:color w:val="000000"/>
          <w:lang w:val="cs-CZ" w:eastAsia="cs-CZ" w:bidi="cs-CZ"/>
        </w:rPr>
        <w:t xml:space="preserve">mluvy zahrňujúcu aj odbornú podporu pri pripájaní nových odberných miest </w:t>
      </w:r>
      <w:r w:rsidRPr="004460B8">
        <w:rPr>
          <w:color w:val="000000"/>
          <w:lang w:eastAsia="sk-SK" w:bidi="sk-SK"/>
        </w:rPr>
        <w:t xml:space="preserve">Objednávateľa. </w:t>
      </w:r>
      <w:r w:rsidRPr="004460B8">
        <w:rPr>
          <w:color w:val="000000"/>
          <w:lang w:val="cs-CZ" w:eastAsia="cs-CZ" w:bidi="cs-CZ"/>
        </w:rPr>
        <w:t>Vzájomná komunikácia musí byť v slovenskom jazyku.</w:t>
      </w:r>
    </w:p>
    <w:p w14:paraId="25B4574C" w14:textId="0A635521" w:rsidR="001F3866" w:rsidRPr="004460B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4460B8">
        <w:rPr>
          <w:color w:val="000000"/>
          <w:lang w:eastAsia="sk-SK" w:bidi="sk-SK"/>
        </w:rPr>
        <w:t xml:space="preserve">Poskytovateľ </w:t>
      </w:r>
      <w:r w:rsidRPr="004460B8">
        <w:rPr>
          <w:color w:val="000000"/>
          <w:lang w:val="cs-CZ" w:eastAsia="cs-CZ" w:bidi="cs-CZ"/>
        </w:rPr>
        <w:t xml:space="preserve">sa </w:t>
      </w:r>
      <w:r w:rsidRPr="004460B8">
        <w:rPr>
          <w:color w:val="000000"/>
          <w:lang w:eastAsia="sk-SK" w:bidi="sk-SK"/>
        </w:rPr>
        <w:t xml:space="preserve">zaväzuje </w:t>
      </w:r>
      <w:r w:rsidRPr="004460B8">
        <w:rPr>
          <w:color w:val="000000"/>
          <w:lang w:val="cs-CZ" w:eastAsia="cs-CZ" w:bidi="cs-CZ"/>
        </w:rPr>
        <w:t xml:space="preserve">poskytovať službu elektronického portálu zriadenú pre jednotlivé odberné miesta uvedené v prílohe č. 2 tejto </w:t>
      </w:r>
      <w:r w:rsidR="002150EF" w:rsidRPr="004460B8">
        <w:rPr>
          <w:color w:val="000000"/>
          <w:lang w:val="cs-CZ" w:eastAsia="cs-CZ" w:bidi="cs-CZ"/>
        </w:rPr>
        <w:t>Z</w:t>
      </w:r>
      <w:r w:rsidRPr="004460B8">
        <w:rPr>
          <w:color w:val="000000"/>
          <w:lang w:val="cs-CZ" w:eastAsia="cs-CZ" w:bidi="cs-CZ"/>
        </w:rPr>
        <w:t xml:space="preserve">mluvy. Prostredníctvom služby elektronického portálu </w:t>
      </w:r>
      <w:r w:rsidRPr="004460B8">
        <w:rPr>
          <w:color w:val="000000"/>
          <w:lang w:eastAsia="sk-SK" w:bidi="sk-SK"/>
        </w:rPr>
        <w:t xml:space="preserve">môže používateľ </w:t>
      </w:r>
      <w:r w:rsidRPr="004460B8">
        <w:rPr>
          <w:color w:val="000000"/>
          <w:lang w:val="cs-CZ" w:eastAsia="cs-CZ" w:bidi="cs-CZ"/>
        </w:rPr>
        <w:t>využívať informácie o svojich odberných miestach, histórii spotreby.</w:t>
      </w:r>
    </w:p>
    <w:p w14:paraId="1285C6B2" w14:textId="74C05D92" w:rsidR="001F386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4460B8">
        <w:rPr>
          <w:color w:val="000000"/>
          <w:lang w:val="cs-CZ" w:eastAsia="cs-CZ" w:bidi="cs-CZ"/>
        </w:rPr>
        <w:tab/>
      </w:r>
      <w:r w:rsidR="001F3866" w:rsidRPr="004460B8">
        <w:rPr>
          <w:color w:val="000000"/>
          <w:lang w:val="cs-CZ" w:eastAsia="cs-CZ" w:bidi="cs-CZ"/>
        </w:rPr>
        <w:t>Prístupové práva na prístup do elektronického portálu pre kontaktnú</w:t>
      </w:r>
      <w:r w:rsidR="001F3866">
        <w:rPr>
          <w:color w:val="000000"/>
          <w:lang w:val="cs-CZ" w:eastAsia="cs-CZ" w:bidi="cs-CZ"/>
        </w:rPr>
        <w:t xml:space="preserve"> osobu uvedenú v bode </w:t>
      </w:r>
      <w:r w:rsidR="005C021F">
        <w:rPr>
          <w:color w:val="000000"/>
          <w:lang w:val="cs-CZ" w:eastAsia="cs-CZ" w:bidi="cs-CZ"/>
        </w:rPr>
        <w:t>3.18</w:t>
      </w:r>
      <w:r w:rsidR="001F3866">
        <w:rPr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mluvy.</w:t>
      </w:r>
    </w:p>
    <w:p w14:paraId="3124441A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prípade záujmu o poradenstvo zamerané na znižovanie nákladov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elektriny do odberných miest optimalizáciou charakteru odberu,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písomne požiadať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poskytovanie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>bude povinný mu ho poskytovať.</w:t>
      </w:r>
    </w:p>
    <w:p w14:paraId="57555E14" w14:textId="094C5CF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vyhradzuje právo, v prípade zriadenia jeho ďalšieho odberného miesta, toto odberné miesto doplniť do </w:t>
      </w:r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 dodatkom pri dodržaní tých istých podmienok dohodnutých v </w:t>
      </w:r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mluve.</w:t>
      </w:r>
    </w:p>
    <w:p w14:paraId="01070DCB" w14:textId="18F9F822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prípade ukončenia odberu elektriny na niektorom odbernom mieste uvedenom v prílohe č. 2 tejto </w:t>
      </w:r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 je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zrušenie tohto miesta povinný oznámiť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pred predpokladaným ukončením odberu elektriny a taktiež túto zmenu riešiť dodatkom k </w:t>
      </w:r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mluve.</w:t>
      </w:r>
    </w:p>
    <w:p w14:paraId="6FF49A81" w14:textId="15D830F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0E9CA7A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7EA15A3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7219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BD74" w14:textId="77777777" w:rsidR="00CD55CB" w:rsidRDefault="00CD55CB" w:rsidP="002B256F">
      <w:pPr>
        <w:spacing w:after="0" w:line="240" w:lineRule="auto"/>
      </w:pPr>
      <w:r>
        <w:separator/>
      </w:r>
    </w:p>
  </w:endnote>
  <w:endnote w:type="continuationSeparator" w:id="0">
    <w:p w14:paraId="1B3A830F" w14:textId="77777777" w:rsidR="00CD55CB" w:rsidRDefault="00CD55CB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3EBFF775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4460B8">
          <w:rPr>
            <w:rFonts w:ascii="Arial Narrow" w:hAnsi="Arial Narrow"/>
            <w:noProof/>
            <w:sz w:val="20"/>
            <w:szCs w:val="20"/>
          </w:rPr>
          <w:t>19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D9CB" w14:textId="77777777" w:rsidR="00CD55CB" w:rsidRDefault="00CD55CB" w:rsidP="002B256F">
      <w:pPr>
        <w:spacing w:after="0" w:line="240" w:lineRule="auto"/>
      </w:pPr>
      <w:r>
        <w:separator/>
      </w:r>
    </w:p>
  </w:footnote>
  <w:footnote w:type="continuationSeparator" w:id="0">
    <w:p w14:paraId="06CE748B" w14:textId="77777777" w:rsidR="00CD55CB" w:rsidRDefault="00CD55CB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829CE" w14:textId="3B6CB03D" w:rsidR="00236E13" w:rsidRPr="00486EA8" w:rsidRDefault="00236E13" w:rsidP="00236E13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elektrina</w:t>
    </w:r>
  </w:p>
  <w:p w14:paraId="521C30E0" w14:textId="77777777" w:rsidR="00236E13" w:rsidRDefault="00236E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7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18"/>
  </w:num>
  <w:num w:numId="11">
    <w:abstractNumId w:val="16"/>
  </w:num>
  <w:num w:numId="12">
    <w:abstractNumId w:val="25"/>
  </w:num>
  <w:num w:numId="13">
    <w:abstractNumId w:val="13"/>
  </w:num>
  <w:num w:numId="14">
    <w:abstractNumId w:val="24"/>
  </w:num>
  <w:num w:numId="15">
    <w:abstractNumId w:val="4"/>
  </w:num>
  <w:num w:numId="16">
    <w:abstractNumId w:val="14"/>
  </w:num>
  <w:num w:numId="17">
    <w:abstractNumId w:val="19"/>
  </w:num>
  <w:num w:numId="18">
    <w:abstractNumId w:val="22"/>
  </w:num>
  <w:num w:numId="19">
    <w:abstractNumId w:val="11"/>
  </w:num>
  <w:num w:numId="20">
    <w:abstractNumId w:val="21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5"/>
  </w:num>
  <w:num w:numId="26">
    <w:abstractNumId w:val="10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B"/>
    <w:rsid w:val="000156A0"/>
    <w:rsid w:val="00026806"/>
    <w:rsid w:val="0004092B"/>
    <w:rsid w:val="000A5A72"/>
    <w:rsid w:val="000D5AF6"/>
    <w:rsid w:val="000E00BC"/>
    <w:rsid w:val="001224DA"/>
    <w:rsid w:val="0015407F"/>
    <w:rsid w:val="001F3866"/>
    <w:rsid w:val="002150EF"/>
    <w:rsid w:val="00236E13"/>
    <w:rsid w:val="0024289F"/>
    <w:rsid w:val="00281C0D"/>
    <w:rsid w:val="002848BB"/>
    <w:rsid w:val="002A467F"/>
    <w:rsid w:val="002B256F"/>
    <w:rsid w:val="003A6D63"/>
    <w:rsid w:val="003B1AD5"/>
    <w:rsid w:val="0041283F"/>
    <w:rsid w:val="00416894"/>
    <w:rsid w:val="00432D8D"/>
    <w:rsid w:val="004460B8"/>
    <w:rsid w:val="00446FF9"/>
    <w:rsid w:val="004B4123"/>
    <w:rsid w:val="005313BE"/>
    <w:rsid w:val="00570382"/>
    <w:rsid w:val="005B2210"/>
    <w:rsid w:val="005B78EC"/>
    <w:rsid w:val="005C021F"/>
    <w:rsid w:val="005C393A"/>
    <w:rsid w:val="005F2E79"/>
    <w:rsid w:val="00617975"/>
    <w:rsid w:val="006420D6"/>
    <w:rsid w:val="00683B20"/>
    <w:rsid w:val="006C222D"/>
    <w:rsid w:val="006D76E7"/>
    <w:rsid w:val="006E025D"/>
    <w:rsid w:val="006E5065"/>
    <w:rsid w:val="007219F0"/>
    <w:rsid w:val="0074564E"/>
    <w:rsid w:val="0074585B"/>
    <w:rsid w:val="00757A8D"/>
    <w:rsid w:val="007672D8"/>
    <w:rsid w:val="00784AFD"/>
    <w:rsid w:val="00784B3E"/>
    <w:rsid w:val="00786E61"/>
    <w:rsid w:val="007946E7"/>
    <w:rsid w:val="00811679"/>
    <w:rsid w:val="00820F22"/>
    <w:rsid w:val="00827D67"/>
    <w:rsid w:val="00876C61"/>
    <w:rsid w:val="00882FB8"/>
    <w:rsid w:val="00894A34"/>
    <w:rsid w:val="008B0852"/>
    <w:rsid w:val="008F2C50"/>
    <w:rsid w:val="008F7C9D"/>
    <w:rsid w:val="00925D82"/>
    <w:rsid w:val="00955DDD"/>
    <w:rsid w:val="00964575"/>
    <w:rsid w:val="00984E6D"/>
    <w:rsid w:val="009A559D"/>
    <w:rsid w:val="009D15F6"/>
    <w:rsid w:val="00A1385A"/>
    <w:rsid w:val="00A21F40"/>
    <w:rsid w:val="00A42BE3"/>
    <w:rsid w:val="00A44A5B"/>
    <w:rsid w:val="00A45695"/>
    <w:rsid w:val="00A72669"/>
    <w:rsid w:val="00AB12C6"/>
    <w:rsid w:val="00AB5552"/>
    <w:rsid w:val="00AB7B30"/>
    <w:rsid w:val="00AF3241"/>
    <w:rsid w:val="00B35E30"/>
    <w:rsid w:val="00C02893"/>
    <w:rsid w:val="00C26222"/>
    <w:rsid w:val="00CB73DA"/>
    <w:rsid w:val="00CC21D2"/>
    <w:rsid w:val="00CD464D"/>
    <w:rsid w:val="00CD55CB"/>
    <w:rsid w:val="00D0367B"/>
    <w:rsid w:val="00D62BA6"/>
    <w:rsid w:val="00D65020"/>
    <w:rsid w:val="00D9432E"/>
    <w:rsid w:val="00DC0C55"/>
    <w:rsid w:val="00DD3317"/>
    <w:rsid w:val="00DE2048"/>
    <w:rsid w:val="00E21F64"/>
    <w:rsid w:val="00E40FC4"/>
    <w:rsid w:val="00E846D5"/>
    <w:rsid w:val="00EB4387"/>
    <w:rsid w:val="00EC2A20"/>
    <w:rsid w:val="00F03A0E"/>
    <w:rsid w:val="00F25778"/>
    <w:rsid w:val="00F41034"/>
    <w:rsid w:val="00FB2243"/>
    <w:rsid w:val="00FC5715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kte.sk/sk/kratkodoby-trh/zverejnenie-udajov-dt/podrobny-prehlad-d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9268-B1F4-48A2-9FD0-C9A1BFF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6220</Words>
  <Characters>35457</Characters>
  <DocSecurity>0</DocSecurity>
  <Lines>295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2021-10-15T16:18:00Z</dcterms:created>
  <dcterms:modified xsi:type="dcterms:W3CDTF">2023-06-05T14:59:00Z</dcterms:modified>
</cp:coreProperties>
</file>