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77777777"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bookmarkStart w:id="0" w:name="_GoBack"/>
      <w:bookmarkEnd w:id="0"/>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2A9AFDA0"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725CA3" w:rsidRPr="009E7B7A">
        <w:rPr>
          <w:rFonts w:ascii="Arial Narrow" w:hAnsi="Arial Narrow"/>
          <w:b/>
          <w:bCs/>
          <w:color w:val="000000"/>
          <w:szCs w:val="24"/>
        </w:rPr>
        <w:t>Ventilom regulovaná olovnatá batéria pre stacionárne použitie</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725CA3" w:rsidRPr="00725CA3">
        <w:rPr>
          <w:rFonts w:ascii="Arial Narrow" w:hAnsi="Arial Narrow" w:cs="Calibri"/>
          <w:szCs w:val="24"/>
        </w:rPr>
        <w:t>42318</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768D0A91"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00F0245C">
        <w:rPr>
          <w:rFonts w:ascii="Arial Narrow" w:hAnsi="Arial Narrow"/>
          <w:szCs w:val="24"/>
        </w:rPr>
        <w:t xml:space="preserve"> </w:t>
      </w:r>
      <w:r w:rsidR="00F0245C" w:rsidRPr="002D3FF8">
        <w:rPr>
          <w:rFonts w:ascii="Arial Narrow" w:hAnsi="Arial Narrow"/>
          <w:szCs w:val="24"/>
        </w:rPr>
        <w:t xml:space="preserve">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404493" w:rsidRPr="002D3FF8">
        <w:rPr>
          <w:rFonts w:ascii="Arial Narrow" w:hAnsi="Arial Narrow"/>
          <w:szCs w:val="24"/>
        </w:rPr>
        <w:t>.</w:t>
      </w:r>
    </w:p>
    <w:p w14:paraId="483C3507" w14:textId="5D8E17D8"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725CA3" w:rsidRPr="002D3FF8">
        <w:rPr>
          <w:rFonts w:ascii="Arial Narrow" w:hAnsi="Arial Narrow" w:cs="Calibri"/>
          <w:szCs w:val="24"/>
        </w:rPr>
        <w:t>20</w:t>
      </w:r>
      <w:r w:rsidR="00C52C47" w:rsidRPr="002D3FF8">
        <w:rPr>
          <w:rFonts w:ascii="Arial Narrow" w:hAnsi="Arial Narrow" w:cs="Calibri"/>
          <w:szCs w:val="24"/>
        </w:rPr>
        <w:t xml:space="preserve"> dní odo dňa nadobudnutia účinnosti </w:t>
      </w:r>
      <w:r w:rsidRPr="002D3FF8">
        <w:rPr>
          <w:rFonts w:ascii="Arial Narrow" w:hAnsi="Arial Narrow" w:cs="Calibri"/>
          <w:szCs w:val="24"/>
        </w:rPr>
        <w:t xml:space="preserve">tejto zmluvy.  </w:t>
      </w:r>
    </w:p>
    <w:p w14:paraId="5505A768" w14:textId="1108D7C5" w:rsidR="002116CB" w:rsidRPr="002D3FF8" w:rsidRDefault="00FC2417"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Miestom dodania  je</w:t>
      </w:r>
      <w:r w:rsidR="002D3FF8" w:rsidRPr="002D3FF8">
        <w:rPr>
          <w:rFonts w:ascii="Arial Narrow" w:hAnsi="Arial Narrow" w:cs="Calibri"/>
          <w:i/>
          <w:szCs w:val="24"/>
        </w:rPr>
        <w:t xml:space="preserve">: </w:t>
      </w:r>
      <w:r w:rsidR="002D3FF8" w:rsidRPr="002D3FF8">
        <w:rPr>
          <w:rFonts w:ascii="Arial Narrow" w:hAnsi="Arial Narrow"/>
          <w:szCs w:val="24"/>
        </w:rPr>
        <w:t xml:space="preserve">Centrum </w:t>
      </w:r>
      <w:proofErr w:type="spellStart"/>
      <w:r w:rsidR="002D3FF8" w:rsidRPr="002D3FF8">
        <w:rPr>
          <w:rFonts w:ascii="Arial Narrow" w:hAnsi="Arial Narrow"/>
          <w:szCs w:val="24"/>
        </w:rPr>
        <w:t>bezpečnotechnických</w:t>
      </w:r>
      <w:proofErr w:type="spellEnd"/>
      <w:r w:rsidR="002D3FF8" w:rsidRPr="002D3FF8">
        <w:rPr>
          <w:rFonts w:ascii="Arial Narrow" w:hAnsi="Arial Narrow"/>
          <w:szCs w:val="24"/>
        </w:rPr>
        <w:t xml:space="preserve"> činností MV SR</w:t>
      </w:r>
      <w:r w:rsidR="002D3FF8" w:rsidRPr="002D3FF8">
        <w:rPr>
          <w:rFonts w:ascii="Arial Narrow" w:hAnsi="Arial Narrow" w:cs="Calibri"/>
          <w:szCs w:val="24"/>
        </w:rPr>
        <w:t xml:space="preserve">, </w:t>
      </w:r>
      <w:r w:rsidR="00725CA3" w:rsidRPr="002D3FF8">
        <w:rPr>
          <w:rFonts w:ascii="Arial Narrow" w:hAnsi="Arial Narrow"/>
          <w:szCs w:val="24"/>
        </w:rPr>
        <w:t xml:space="preserve">Hlavná 285, 951 93 Topoľčianky. </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w:t>
      </w:r>
      <w:r w:rsidR="00BA2865" w:rsidRPr="002116CB">
        <w:rPr>
          <w:rFonts w:ascii="Arial Narrow" w:hAnsi="Arial Narrow"/>
          <w:szCs w:val="24"/>
        </w:rPr>
        <w:lastRenderedPageBreak/>
        <w:t xml:space="preserve">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119BB74D"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Predávajúci,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xml:space="preserve">, je stanovená v súlade so zákonom č. NR SR č. </w:t>
      </w:r>
      <w:r w:rsidR="005D55E8" w:rsidRPr="002116CB">
        <w:rPr>
          <w:rFonts w:ascii="Arial Narrow" w:hAnsi="Arial Narrow"/>
          <w:szCs w:val="24"/>
        </w:rPr>
        <w:lastRenderedPageBreak/>
        <w:t>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w:t>
      </w:r>
      <w:r w:rsidRPr="002116CB">
        <w:rPr>
          <w:rFonts w:ascii="Arial Narrow" w:hAnsi="Arial Narrow" w:cs="Calibri"/>
          <w:szCs w:val="24"/>
        </w:rPr>
        <w:lastRenderedPageBreak/>
        <w:t xml:space="preserve">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lastRenderedPageBreak/>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401FCB55" w14:textId="64E9E3F5"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došlo k splneniu zákonných dôvodov na odstúpenie od Zmluvy (najmä §19 ods.1 písm. a) a b) zákona č.343/2015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31F5DE06"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k rukám: Karol Bartoš</w:t>
      </w:r>
    </w:p>
    <w:p w14:paraId="6B2B6C2D" w14:textId="1519DC89"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r w:rsidR="002D3FF8">
        <w:rPr>
          <w:rFonts w:ascii="Arial Narrow" w:hAnsi="Arial Narrow"/>
          <w:sz w:val="24"/>
          <w:szCs w:val="24"/>
        </w:rPr>
        <w:t>karol.bartos@minv.sk</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lastRenderedPageBreak/>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1B7B" w14:textId="77777777" w:rsidR="00842FE2" w:rsidRDefault="00842FE2" w:rsidP="006E6235">
      <w:r>
        <w:separator/>
      </w:r>
    </w:p>
  </w:endnote>
  <w:endnote w:type="continuationSeparator" w:id="0">
    <w:p w14:paraId="4F283D36" w14:textId="77777777" w:rsidR="00842FE2" w:rsidRDefault="00842FE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842FE2"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E502" w14:textId="77777777" w:rsidR="00842FE2" w:rsidRDefault="00842FE2" w:rsidP="006E6235">
      <w:r>
        <w:separator/>
      </w:r>
    </w:p>
  </w:footnote>
  <w:footnote w:type="continuationSeparator" w:id="0">
    <w:p w14:paraId="029AFBD7" w14:textId="77777777" w:rsidR="00842FE2" w:rsidRDefault="00842FE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625C3"/>
    <w:rsid w:val="00094AC0"/>
    <w:rsid w:val="000A644D"/>
    <w:rsid w:val="000B3AA8"/>
    <w:rsid w:val="000D28A9"/>
    <w:rsid w:val="000E2F2D"/>
    <w:rsid w:val="000E63B6"/>
    <w:rsid w:val="000F28BD"/>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818B0"/>
    <w:rsid w:val="00386FA2"/>
    <w:rsid w:val="0038715B"/>
    <w:rsid w:val="00396ADD"/>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B22B8"/>
    <w:rsid w:val="006C25A5"/>
    <w:rsid w:val="006C30F1"/>
    <w:rsid w:val="006E6235"/>
    <w:rsid w:val="006E757E"/>
    <w:rsid w:val="006F1081"/>
    <w:rsid w:val="00701D18"/>
    <w:rsid w:val="00704F9D"/>
    <w:rsid w:val="00706452"/>
    <w:rsid w:val="00725CA3"/>
    <w:rsid w:val="007301F2"/>
    <w:rsid w:val="00734EA2"/>
    <w:rsid w:val="00737FAA"/>
    <w:rsid w:val="00741744"/>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D4DB6"/>
    <w:rsid w:val="00CE13E9"/>
    <w:rsid w:val="00D0046D"/>
    <w:rsid w:val="00D5473D"/>
    <w:rsid w:val="00D56142"/>
    <w:rsid w:val="00D6448D"/>
    <w:rsid w:val="00D705FC"/>
    <w:rsid w:val="00D73D13"/>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70B0-8927-447A-94C3-59FF6BC6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2970</Words>
  <Characters>16934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13</cp:revision>
  <cp:lastPrinted>2021-09-07T14:04:00Z</cp:lastPrinted>
  <dcterms:created xsi:type="dcterms:W3CDTF">2022-09-21T08:43:00Z</dcterms:created>
  <dcterms:modified xsi:type="dcterms:W3CDTF">2023-06-28T11:21:00Z</dcterms:modified>
</cp:coreProperties>
</file>