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31" w:rsidRDefault="00197D31" w:rsidP="00197D31">
      <w:pPr>
        <w:jc w:val="center"/>
      </w:pPr>
    </w:p>
    <w:p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AA05F2" w:rsidRPr="000B23B4" w:rsidTr="00404651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52F02">
              <w:rPr>
                <w:b/>
                <w:sz w:val="20"/>
                <w:szCs w:val="20"/>
              </w:rPr>
              <w:t>VIA LUX Domov sociálnych služieb a zariadenie pre seniorov</w:t>
            </w:r>
          </w:p>
        </w:tc>
      </w:tr>
      <w:tr w:rsidR="00AA05F2" w:rsidRPr="000B23B4" w:rsidTr="00404651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52F02">
              <w:rPr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sz w:val="20"/>
                <w:szCs w:val="20"/>
              </w:rPr>
              <w:t xml:space="preserve"> 2, 040 17 Košice-Barca</w:t>
            </w:r>
          </w:p>
        </w:tc>
      </w:tr>
      <w:tr w:rsidR="00AA05F2" w:rsidRPr="000B23B4" w:rsidTr="00404651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8B092F">
              <w:rPr>
                <w:rFonts w:cstheme="minorHAnsi"/>
                <w:color w:val="000000"/>
                <w:sz w:val="20"/>
                <w:szCs w:val="20"/>
                <w:lang w:eastAsia="sk-SK"/>
              </w:rPr>
              <w:t>00696854</w:t>
            </w:r>
          </w:p>
        </w:tc>
      </w:tr>
    </w:tbl>
    <w:p w:rsidR="00AA05F2" w:rsidRPr="00DB7D1E" w:rsidRDefault="00AA05F2" w:rsidP="00AA05F2">
      <w:pPr>
        <w:tabs>
          <w:tab w:val="center" w:pos="4153"/>
          <w:tab w:val="right" w:pos="8306"/>
        </w:tabs>
        <w:rPr>
          <w:b/>
          <w:bCs/>
          <w:szCs w:val="28"/>
        </w:rPr>
      </w:pPr>
      <w:r>
        <w:rPr>
          <w:rFonts w:ascii="Calibri Light" w:hAnsi="Calibri Light" w:cs="Calibri Light"/>
          <w:sz w:val="20"/>
          <w:szCs w:val="20"/>
        </w:rPr>
        <w:t xml:space="preserve">Názov predmetu zákazky:               </w:t>
      </w:r>
      <w:r w:rsidRPr="00DB7D1E">
        <w:rPr>
          <w:rFonts w:cstheme="minorHAnsi"/>
          <w:b/>
          <w:szCs w:val="28"/>
        </w:rPr>
        <w:t>„</w:t>
      </w:r>
      <w:r w:rsidRPr="005318D3">
        <w:rPr>
          <w:rFonts w:cstheme="minorHAnsi"/>
          <w:b/>
        </w:rPr>
        <w:t>Nákup potravín</w:t>
      </w:r>
      <w:r>
        <w:rPr>
          <w:rFonts w:cstheme="minorHAnsi"/>
          <w:b/>
        </w:rPr>
        <w:t xml:space="preserve"> </w:t>
      </w:r>
      <w:r w:rsidRPr="005318D3">
        <w:rPr>
          <w:rFonts w:cstheme="minorHAnsi"/>
          <w:b/>
        </w:rPr>
        <w:t xml:space="preserve">VIA LUX </w:t>
      </w:r>
      <w:r>
        <w:rPr>
          <w:rFonts w:cstheme="minorHAnsi"/>
          <w:b/>
        </w:rPr>
        <w:t>Barca 2023</w:t>
      </w:r>
    </w:p>
    <w:p w:rsidR="002C5B6B" w:rsidRDefault="002C5B6B" w:rsidP="00197D31">
      <w:pPr>
        <w:jc w:val="center"/>
      </w:pPr>
    </w:p>
    <w:p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197D31" w:rsidRDefault="00197D31" w:rsidP="00197D31">
      <w:pPr>
        <w:jc w:val="center"/>
      </w:pPr>
    </w:p>
    <w:p w:rsidR="00F905DC" w:rsidRPr="00F905DC" w:rsidRDefault="009D4229" w:rsidP="00F905DC">
      <w:pPr>
        <w:shd w:val="clear" w:color="auto" w:fill="FFFFFF"/>
        <w:spacing w:after="14" w:line="304" w:lineRule="auto"/>
        <w:jc w:val="both"/>
        <w:rPr>
          <w:rFonts w:cstheme="minorHAnsi"/>
        </w:rPr>
      </w:pPr>
      <w:r w:rsidRPr="00F905DC">
        <w:rPr>
          <w:rFonts w:cstheme="minorHAnsi"/>
          <w:bCs/>
        </w:rPr>
        <w:t xml:space="preserve">Ako uchádzač týmto vyhlasujem, že predložením ponuky na predmet zákazky vyššie uvedený predmet zákazky ku ktorej  </w:t>
      </w:r>
      <w:r w:rsidR="00727402" w:rsidRPr="00F905DC">
        <w:rPr>
          <w:rFonts w:eastAsia="Calibri" w:cstheme="minorHAnsi"/>
        </w:rPr>
        <w:t>Oznámenie o vyhlásení verejného obstarávania bola  zverejnené</w:t>
      </w:r>
      <w:r w:rsidRPr="00F905DC">
        <w:rPr>
          <w:rFonts w:eastAsia="Calibri" w:cstheme="minorHAnsi"/>
        </w:rPr>
        <w:t xml:space="preserve"> </w:t>
      </w:r>
      <w:r w:rsidR="00741919" w:rsidRPr="00F905DC">
        <w:rPr>
          <w:rFonts w:eastAsia="Calibri" w:cstheme="minorHAnsi"/>
          <w:b/>
        </w:rPr>
        <w:t>v</w:t>
      </w:r>
      <w:r w:rsidR="002C5B6B" w:rsidRPr="00F905DC">
        <w:rPr>
          <w:rFonts w:eastAsia="Calibri" w:cstheme="minorHAnsi"/>
          <w:b/>
        </w:rPr>
        <w:t xml:space="preserve"> </w:t>
      </w:r>
      <w:r w:rsidR="00741919" w:rsidRPr="00F905DC">
        <w:rPr>
          <w:rFonts w:eastAsia="Calibri" w:cstheme="minorHAnsi"/>
          <w:b/>
        </w:rPr>
        <w:t>Ú. v. EÚ</w:t>
      </w:r>
      <w:r w:rsidRPr="00F905DC">
        <w:rPr>
          <w:rFonts w:eastAsia="Calibri" w:cstheme="minorHAnsi"/>
          <w:b/>
        </w:rPr>
        <w:t xml:space="preserve"> č.: </w:t>
      </w:r>
      <w:r w:rsidR="00F905DC" w:rsidRPr="00F905DC">
        <w:rPr>
          <w:rFonts w:eastAsia="Calibri" w:cstheme="minorHAnsi"/>
          <w:b/>
        </w:rPr>
        <w:t>S115</w:t>
      </w:r>
      <w:r w:rsidRPr="00F905DC">
        <w:rPr>
          <w:rFonts w:eastAsia="Calibri" w:cstheme="minorHAnsi"/>
          <w:b/>
        </w:rPr>
        <w:t xml:space="preserve"> dňa: </w:t>
      </w:r>
      <w:r w:rsidR="00F905DC" w:rsidRPr="00F905DC">
        <w:rPr>
          <w:rFonts w:eastAsia="Calibri" w:cstheme="minorHAnsi"/>
          <w:b/>
        </w:rPr>
        <w:t>16.06.2023</w:t>
      </w:r>
      <w:r w:rsidRPr="00F905DC">
        <w:rPr>
          <w:rFonts w:eastAsia="Calibri" w:cstheme="minorHAnsi"/>
          <w:b/>
        </w:rPr>
        <w:t xml:space="preserve"> pod zn.: </w:t>
      </w:r>
      <w:r w:rsidR="00F905DC" w:rsidRPr="00F905DC">
        <w:rPr>
          <w:rFonts w:cstheme="minorHAnsi"/>
          <w:b/>
        </w:rPr>
        <w:t>2023/S 115-360580</w:t>
      </w:r>
      <w:r w:rsidR="00F905DC" w:rsidRPr="00F905DC">
        <w:rPr>
          <w:rFonts w:cstheme="minorHAnsi"/>
        </w:rPr>
        <w:t xml:space="preserve"> </w:t>
      </w:r>
    </w:p>
    <w:p w:rsidR="009D4229" w:rsidRPr="00A506E1" w:rsidRDefault="009D4229" w:rsidP="00F905DC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F905DC">
        <w:rPr>
          <w:rFonts w:cstheme="minorHAnsi"/>
        </w:rPr>
        <w:t>súhlasím s podm</w:t>
      </w:r>
      <w:r w:rsidR="00A22A88" w:rsidRPr="00F905DC">
        <w:rPr>
          <w:rFonts w:cstheme="minorHAnsi"/>
        </w:rPr>
        <w:t xml:space="preserve">ienkami verejného obstarávania </w:t>
      </w:r>
      <w:r w:rsidR="00A22A88" w:rsidRPr="00F905DC">
        <w:rPr>
          <w:rFonts w:cstheme="minorHAnsi"/>
          <w:b/>
        </w:rPr>
        <w:t>„</w:t>
      </w:r>
      <w:r w:rsidR="00AA05F2" w:rsidRPr="00F905DC">
        <w:rPr>
          <w:rFonts w:cstheme="minorHAnsi"/>
          <w:b/>
        </w:rPr>
        <w:t>Nák</w:t>
      </w:r>
      <w:bookmarkStart w:id="0" w:name="_GoBack"/>
      <w:bookmarkEnd w:id="0"/>
      <w:r w:rsidR="00AA05F2" w:rsidRPr="00F905DC">
        <w:rPr>
          <w:rFonts w:cstheme="minorHAnsi"/>
          <w:b/>
        </w:rPr>
        <w:t>up potravín VIA LUX Barca 2023</w:t>
      </w:r>
      <w:r w:rsidR="00A22A88" w:rsidRPr="00F905DC">
        <w:rPr>
          <w:rFonts w:cstheme="minorHAnsi"/>
          <w:b/>
        </w:rPr>
        <w:t>“</w:t>
      </w:r>
      <w:r w:rsidR="00A22A88" w:rsidRPr="00F905DC">
        <w:rPr>
          <w:rFonts w:cstheme="minorHAnsi"/>
        </w:rPr>
        <w:t xml:space="preserve"> </w:t>
      </w:r>
      <w:r w:rsidRPr="00F905DC">
        <w:rPr>
          <w:rFonts w:cstheme="minorHAnsi"/>
        </w:rPr>
        <w:t>ktoré sú určené v súťažných podkladoch a v iných dokumentoch poskytnutých verejným obstarávateľom v lehote na predkladanie ponúk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všetky predložené doklady a údaje v ponuke sú pravdivé a úplné a o tom, že obsahu </w:t>
      </w:r>
      <w:r w:rsidR="001F47DE" w:rsidRPr="00A506E1">
        <w:rPr>
          <w:rFonts w:cstheme="minorHAnsi"/>
        </w:rPr>
        <w:t>Oznámen</w:t>
      </w:r>
      <w:r w:rsidR="001F47DE">
        <w:rPr>
          <w:rFonts w:cstheme="minorHAnsi"/>
        </w:rPr>
        <w:t>ia</w:t>
      </w:r>
      <w:r w:rsidR="001F47DE" w:rsidRPr="00A506E1">
        <w:rPr>
          <w:rFonts w:cstheme="minorHAnsi"/>
        </w:rPr>
        <w:t xml:space="preserve"> o vyhlásení verejného obstarávania</w:t>
      </w:r>
      <w:r w:rsidRPr="00A506E1">
        <w:rPr>
          <w:rFonts w:cstheme="minorHAnsi"/>
        </w:rPr>
        <w:t xml:space="preserve"> a všetkých ostatných dokumentov poskytnutých verejným obstarávateľom v lehote na predkladanie ponúk rozumiem,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uvedenými v Oznámení o vyhlásení verejného obstarávania a v ostatných dokumentoch poskytnutých verejným obstarávateľom v lehote na predkladanie ponúk,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9D4229" w:rsidRPr="00A506E1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843A5E" w:rsidRPr="00843A5E" w:rsidRDefault="00843A5E" w:rsidP="00843A5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súhlasím s  evidenciou a spracovaním osobných údajov podľa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a Nariadenia (EÚ) 2016/679. V zmysle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617E98" w:rsidRDefault="00617E98" w:rsidP="00617E98">
      <w:pPr>
        <w:pStyle w:val="Odsekzoznamu"/>
        <w:spacing w:after="0" w:line="240" w:lineRule="auto"/>
        <w:contextualSpacing w:val="0"/>
        <w:jc w:val="both"/>
        <w:rPr>
          <w:rFonts w:cstheme="minorHAnsi"/>
        </w:rPr>
      </w:pPr>
    </w:p>
    <w:p w:rsidR="00617E98" w:rsidRPr="007F46FF" w:rsidRDefault="00617E98" w:rsidP="00617E98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:rsidR="00617E98" w:rsidRPr="00302DC4" w:rsidRDefault="00617E98" w:rsidP="00617E98">
      <w:pPr>
        <w:ind w:left="708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617E98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ED57E5" w:rsidRPr="00847006" w:rsidRDefault="00ED57E5" w:rsidP="00ED57E5">
      <w:pPr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847006">
        <w:rPr>
          <w:rFonts w:cs="Calibri"/>
          <w:i/>
        </w:rPr>
        <w:t xml:space="preserve"> </w:t>
      </w:r>
      <w:r w:rsidRPr="00847006">
        <w:rPr>
          <w:rFonts w:cs="Calibri"/>
          <w:i/>
          <w:w w:val="105"/>
        </w:rPr>
        <w:t>„</w:t>
      </w:r>
      <w:r>
        <w:rPr>
          <w:rFonts w:cs="Calibri"/>
          <w:b/>
        </w:rPr>
        <w:t>Vybudovanie nového OAIM  – prístrojové vybavenie“ – Zdravotnícke zariadenia</w:t>
      </w:r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</w:t>
      </w:r>
      <w:r w:rsidRPr="00847006">
        <w:rPr>
          <w:rFonts w:cs="Calibri"/>
          <w:lang w:val="x-none" w:eastAsia="x-none"/>
        </w:rPr>
        <w:lastRenderedPageBreak/>
        <w:t xml:space="preserve">nie je právnickou osobou, subjektom alebo orgánom, ktorých vlastnícke práva priamo alebo nepriamo vlastní z viac ako 50 % subjekt uvedený v písmene a) tohto odseku; 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20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197D31" w:rsidRPr="00FF3F7D" w:rsidRDefault="00197D31" w:rsidP="00197D31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sectPr w:rsidR="00197D31" w:rsidRPr="00FF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31"/>
    <w:rsid w:val="0018524A"/>
    <w:rsid w:val="00197D31"/>
    <w:rsid w:val="001F47DE"/>
    <w:rsid w:val="002C5B6B"/>
    <w:rsid w:val="00617E98"/>
    <w:rsid w:val="00727402"/>
    <w:rsid w:val="00741919"/>
    <w:rsid w:val="00774C2B"/>
    <w:rsid w:val="008161F5"/>
    <w:rsid w:val="008342A6"/>
    <w:rsid w:val="00843A5E"/>
    <w:rsid w:val="009838B7"/>
    <w:rsid w:val="009D4229"/>
    <w:rsid w:val="00A22A88"/>
    <w:rsid w:val="00A61338"/>
    <w:rsid w:val="00AA05F2"/>
    <w:rsid w:val="00ED57E5"/>
    <w:rsid w:val="00EE6A28"/>
    <w:rsid w:val="00F9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833E"/>
  <w15:docId w15:val="{5C2EA4CA-4C48-45CA-9C48-CB76DB0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05F2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9D4229"/>
  </w:style>
  <w:style w:type="paragraph" w:styleId="Normlnywebov">
    <w:name w:val="Normal (Web)"/>
    <w:basedOn w:val="Normlny"/>
    <w:uiPriority w:val="99"/>
    <w:unhideWhenUsed/>
    <w:rsid w:val="0061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11</cp:revision>
  <dcterms:created xsi:type="dcterms:W3CDTF">2023-05-08T18:54:00Z</dcterms:created>
  <dcterms:modified xsi:type="dcterms:W3CDTF">2023-06-16T15:00:00Z</dcterms:modified>
</cp:coreProperties>
</file>