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062E0D5F" w:rsidR="00447DE6" w:rsidRDefault="00E34298"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Modul zabezpečenia mobilného pracoviska</w:t>
      </w:r>
    </w:p>
    <w:p w14:paraId="25C5C50C" w14:textId="3D31AA94"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E34298">
        <w:rPr>
          <w:rFonts w:ascii="Arial Narrow" w:hAnsi="Arial Narrow" w:cs="Arial"/>
          <w:sz w:val="30"/>
        </w:rPr>
        <w:t>Tovary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7EE309AF" w14:textId="77777777" w:rsidR="00447DE6" w:rsidRPr="007D4FCA" w:rsidRDefault="00A850D1" w:rsidP="00447DE6">
      <w:pPr>
        <w:spacing w:after="0"/>
        <w:ind w:left="4956" w:firstLine="708"/>
        <w:rPr>
          <w:rFonts w:ascii="Arial Narrow" w:hAnsi="Arial Narrow" w:cs="Arial"/>
          <w:sz w:val="22"/>
        </w:rPr>
      </w:pPr>
      <w:r>
        <w:rPr>
          <w:rFonts w:ascii="Arial Narrow" w:hAnsi="Arial Narrow" w:cs="Arial"/>
          <w:sz w:val="22"/>
        </w:rPr>
        <w:t xml:space="preserve">   </w:t>
      </w:r>
      <w:r w:rsidR="00447DE6">
        <w:rPr>
          <w:rFonts w:ascii="Arial Narrow" w:hAnsi="Arial Narrow" w:cs="Arial"/>
          <w:sz w:val="22"/>
        </w:rPr>
        <w:t>Ing. Pavol Mikulášek</w:t>
      </w:r>
    </w:p>
    <w:p w14:paraId="66F78BAA" w14:textId="4F312262" w:rsidR="00447DE6" w:rsidRDefault="00447DE6" w:rsidP="00447DE6">
      <w:pPr>
        <w:spacing w:after="0"/>
        <w:ind w:left="5001"/>
        <w:rPr>
          <w:rFonts w:ascii="Arial Narrow" w:hAnsi="Arial Narrow" w:cs="Arial"/>
          <w:sz w:val="22"/>
        </w:rPr>
      </w:pPr>
      <w:r>
        <w:rPr>
          <w:rFonts w:ascii="Arial Narrow" w:hAnsi="Arial Narrow" w:cs="Arial"/>
          <w:sz w:val="22"/>
        </w:rPr>
        <w:t xml:space="preserve">                       Prezident HaZZ </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84C3BD1"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427E9">
        <w:rPr>
          <w:rFonts w:ascii="Arial Narrow" w:hAnsi="Arial Narrow" w:cs="Arial"/>
          <w:sz w:val="22"/>
          <w:szCs w:val="22"/>
        </w:rPr>
        <w:t>jún</w:t>
      </w:r>
      <w:r w:rsidR="00447DE6">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7B3CF3D" w14:textId="77777777" w:rsidR="0066393B" w:rsidRDefault="0066393B"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B31DC55"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A06DD1">
        <w:rPr>
          <w:rFonts w:ascii="Arial Narrow" w:hAnsi="Arial Narrow"/>
          <w:szCs w:val="20"/>
        </w:rPr>
        <w:t>Kúpnej zmluvy</w:t>
      </w:r>
    </w:p>
    <w:p w14:paraId="1046E002" w14:textId="7421EE19"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C66C84">
        <w:rPr>
          <w:rFonts w:ascii="Arial Narrow" w:hAnsi="Arial Narrow"/>
          <w:color w:val="000000"/>
          <w:szCs w:val="20"/>
        </w:rPr>
        <w:t>Kúpnej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3BB3DA77" w14:textId="77777777" w:rsidR="00BD74EA" w:rsidRDefault="00BD74EA" w:rsidP="003D17CB">
      <w:pPr>
        <w:spacing w:after="0" w:line="240" w:lineRule="auto"/>
        <w:rPr>
          <w:rFonts w:ascii="Arial Narrow" w:hAnsi="Arial Narrow"/>
          <w:color w:val="000000"/>
          <w:szCs w:val="20"/>
        </w:rPr>
      </w:pPr>
    </w:p>
    <w:p w14:paraId="3569C81B" w14:textId="77777777" w:rsidR="00E34298" w:rsidRDefault="00E34298" w:rsidP="003D17CB">
      <w:pPr>
        <w:spacing w:after="0" w:line="240" w:lineRule="auto"/>
        <w:rPr>
          <w:rFonts w:ascii="Arial Narrow" w:hAnsi="Arial Narrow"/>
          <w:color w:val="000000"/>
          <w:szCs w:val="20"/>
        </w:rPr>
      </w:pP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77777777" w:rsidR="00E910ED" w:rsidRDefault="00E910ED"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5C2C5E8"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7985CDB1" w14:textId="77777777" w:rsidR="00F26D63" w:rsidRPr="00EC2537" w:rsidRDefault="00F26D63" w:rsidP="00F26D63">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II</w:t>
      </w:r>
      <w:r w:rsidRPr="00EC2537">
        <w:rPr>
          <w:rFonts w:ascii="Arial Narrow" w:hAnsi="Arial Narrow" w:cs="Arial"/>
          <w:sz w:val="22"/>
        </w:rPr>
        <w:t>.</w:t>
      </w:r>
    </w:p>
    <w:p w14:paraId="1D30E5E1" w14:textId="77777777" w:rsidR="00F26D63" w:rsidRPr="0034030C" w:rsidRDefault="00F26D63" w:rsidP="00F26D63">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77EFB5D6" w14:textId="77777777" w:rsidR="00F26D63" w:rsidRPr="00942A86" w:rsidRDefault="00F26D63" w:rsidP="00F26D63">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Pr="00942A86">
        <w:rPr>
          <w:rFonts w:ascii="Arial Narrow" w:hAnsi="Arial Narrow" w:cs="Arial"/>
          <w:b/>
          <w:bCs/>
          <w:smallCaps/>
          <w:sz w:val="22"/>
        </w:rPr>
        <w:t>predmet zákazky</w:t>
      </w:r>
    </w:p>
    <w:p w14:paraId="421FCF6C" w14:textId="6876EF25" w:rsidR="00F26D63" w:rsidRPr="00FF43E9" w:rsidRDefault="00F26D63" w:rsidP="00F26D63">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Pr>
          <w:rFonts w:ascii="Arial Narrow" w:hAnsi="Arial Narrow" w:cs="Arial"/>
          <w:lang w:val="sk-SK"/>
        </w:rPr>
        <w:t>„</w:t>
      </w:r>
      <w:r w:rsidR="004874E7">
        <w:rPr>
          <w:rFonts w:ascii="Arial Narrow" w:hAnsi="Arial Narrow" w:cs="Arial"/>
          <w:lang w:val="sk-SK"/>
        </w:rPr>
        <w:t>Modul zabezpečenia mobilného pracoviska</w:t>
      </w:r>
      <w:r w:rsidRPr="009D1776">
        <w:rPr>
          <w:rFonts w:ascii="Arial Narrow" w:hAnsi="Arial Narrow" w:cs="Arial"/>
          <w:b/>
          <w:i/>
          <w:lang w:val="sk-SK"/>
        </w:rPr>
        <w:t>“</w:t>
      </w:r>
      <w:bookmarkEnd w:id="6"/>
      <w:r>
        <w:rPr>
          <w:rFonts w:ascii="Arial Narrow" w:hAnsi="Arial Narrow" w:cs="Arial"/>
          <w:lang w:val="sk-SK"/>
        </w:rPr>
        <w:t>.</w:t>
      </w:r>
    </w:p>
    <w:p w14:paraId="596545AA" w14:textId="77777777" w:rsidR="00F26D63" w:rsidRPr="00FF43E9" w:rsidRDefault="00F26D63" w:rsidP="00F26D63">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1D2E6606" w14:textId="77777777" w:rsidR="00F26D63" w:rsidRPr="00FF43E9" w:rsidRDefault="00F26D63" w:rsidP="00F26D63">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81788C5" w14:textId="77777777" w:rsidR="00927D03" w:rsidRDefault="00F26D63" w:rsidP="00F26D63">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Pr>
          <w:rFonts w:ascii="Arial Narrow" w:hAnsi="Arial Narrow" w:cs="Arial"/>
          <w:lang w:val="sk-SK"/>
        </w:rPr>
        <w:t>39522530-1</w:t>
      </w:r>
      <w:r w:rsidRPr="00003C6E">
        <w:rPr>
          <w:rFonts w:ascii="Arial Narrow" w:hAnsi="Arial Narrow" w:cs="Arial"/>
          <w:lang w:val="sk-SK"/>
        </w:rPr>
        <w:t xml:space="preserve">    </w:t>
      </w:r>
      <w:r>
        <w:rPr>
          <w:rFonts w:ascii="Arial Narrow" w:hAnsi="Arial Narrow" w:cs="Arial"/>
          <w:lang w:val="sk-SK"/>
        </w:rPr>
        <w:t>Stany</w:t>
      </w:r>
    </w:p>
    <w:p w14:paraId="180CB0CD" w14:textId="2FDA40EF" w:rsidR="00F26D63" w:rsidRDefault="00927D03" w:rsidP="00F26D63">
      <w:pPr>
        <w:pStyle w:val="Zarkazkladnhotextu2"/>
        <w:spacing w:after="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39121200-8    Stoly</w:t>
      </w:r>
      <w:r>
        <w:rPr>
          <w:rFonts w:ascii="Arial Narrow" w:hAnsi="Arial Narrow" w:cs="Arial"/>
          <w:lang w:val="sk-SK"/>
        </w:rPr>
        <w:tab/>
      </w:r>
      <w:r w:rsidR="00F26D63" w:rsidRPr="00C35ED6">
        <w:rPr>
          <w:rFonts w:ascii="Arial Narrow" w:hAnsi="Arial Narrow" w:cs="Arial"/>
        </w:rPr>
        <w:tab/>
      </w:r>
      <w:r w:rsidR="00F26D63">
        <w:rPr>
          <w:rFonts w:ascii="Arial Narrow" w:hAnsi="Arial Narrow" w:cs="Arial"/>
        </w:rPr>
        <w:tab/>
      </w:r>
      <w:r w:rsidR="00F26D63">
        <w:rPr>
          <w:rFonts w:ascii="Arial Narrow" w:hAnsi="Arial Narrow" w:cs="Arial"/>
        </w:rPr>
        <w:tab/>
        <w:t xml:space="preserve">           </w:t>
      </w:r>
    </w:p>
    <w:p w14:paraId="62F9E45E" w14:textId="6F0D183E" w:rsidR="00927D03" w:rsidRPr="00927D03" w:rsidRDefault="00927D03" w:rsidP="00F26D63">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39717000-1     </w:t>
      </w:r>
      <w:r w:rsidRPr="00927D03">
        <w:rPr>
          <w:rFonts w:ascii="Arial Narrow" w:hAnsi="Arial Narrow" w:cs="Arial"/>
          <w:lang w:val="sk-SK"/>
        </w:rPr>
        <w:t>Ventilátory a klimatizačné spotrebiče</w:t>
      </w:r>
    </w:p>
    <w:p w14:paraId="39E759ED" w14:textId="77777777" w:rsidR="00F26D63" w:rsidRPr="00FF43E9" w:rsidRDefault="00F26D63" w:rsidP="00F26D63">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B71AE70" w14:textId="77777777" w:rsidR="00F26D63" w:rsidRDefault="00F26D63" w:rsidP="00F26D63">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w:t>
      </w:r>
      <w:r>
        <w:rPr>
          <w:rFonts w:ascii="Arial Narrow" w:hAnsi="Arial Narrow" w:cs="Arial"/>
          <w:sz w:val="22"/>
          <w:lang w:eastAsia="sk-SK"/>
        </w:rPr>
        <w:t>, vlastný návrh plnenia</w:t>
      </w:r>
      <w:r w:rsidRPr="00FF43E9">
        <w:rPr>
          <w:rFonts w:ascii="Arial Narrow" w:hAnsi="Arial Narrow" w:cs="Arial"/>
          <w:sz w:val="22"/>
          <w:lang w:eastAsia="sk-SK"/>
        </w:rPr>
        <w:t xml:space="preserve"> týchto súťažných podkladov.</w:t>
      </w:r>
    </w:p>
    <w:p w14:paraId="533DFA9E" w14:textId="77777777" w:rsidR="00F26D63" w:rsidRDefault="00F26D63" w:rsidP="00F26D63">
      <w:pPr>
        <w:spacing w:after="0" w:line="240" w:lineRule="auto"/>
        <w:ind w:left="567"/>
        <w:jc w:val="both"/>
        <w:rPr>
          <w:rFonts w:ascii="Arial Narrow" w:hAnsi="Arial Narrow" w:cs="Arial"/>
          <w:sz w:val="22"/>
          <w:lang w:eastAsia="sk-SK"/>
        </w:rPr>
      </w:pPr>
    </w:p>
    <w:p w14:paraId="0BC469E0" w14:textId="77777777" w:rsidR="00F26D63" w:rsidRPr="00FF43E9" w:rsidRDefault="00F26D63" w:rsidP="00F26D63">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0BAC2099" w14:textId="77777777" w:rsidR="006971EA" w:rsidRPr="006971EA" w:rsidRDefault="00F26D63" w:rsidP="00F26D63">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Predmet zákazky  je rozdelený na časti.</w:t>
      </w:r>
    </w:p>
    <w:p w14:paraId="5DA05A26" w14:textId="77777777" w:rsidR="006971EA" w:rsidRPr="00C96306" w:rsidRDefault="006971EA" w:rsidP="006971EA">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517BB307" w14:textId="74F1B28B"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1 – Nafukovací stan</w:t>
      </w:r>
      <w:r w:rsidR="001C4CCA">
        <w:rPr>
          <w:rFonts w:ascii="Arial Narrow" w:hAnsi="Arial Narrow" w:cs="Arial"/>
          <w:lang w:val="sk-SK"/>
        </w:rPr>
        <w:t xml:space="preserve"> s príslušenstvom</w:t>
      </w:r>
    </w:p>
    <w:p w14:paraId="63C195AE" w14:textId="77777777"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Poľný stôl</w:t>
      </w:r>
    </w:p>
    <w:p w14:paraId="091E6E20" w14:textId="60D99EE7" w:rsidR="00F26D63"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 Klimatizačná jednotka</w:t>
      </w:r>
      <w:r w:rsidR="00F26D63" w:rsidRPr="00FF43E9">
        <w:rPr>
          <w:rFonts w:ascii="Arial Narrow" w:hAnsi="Arial Narrow" w:cs="Arial"/>
        </w:rPr>
        <w:t xml:space="preserve"> </w:t>
      </w:r>
    </w:p>
    <w:p w14:paraId="1880FE7B" w14:textId="27AF69A9" w:rsidR="006971EA" w:rsidRPr="006971EA" w:rsidRDefault="006971EA" w:rsidP="006971EA">
      <w:pPr>
        <w:pStyle w:val="Zarkazkladnhotextu2"/>
        <w:spacing w:after="0" w:line="240" w:lineRule="auto"/>
        <w:ind w:left="567"/>
        <w:jc w:val="both"/>
        <w:rPr>
          <w:rFonts w:ascii="Arial Narrow" w:hAnsi="Arial Narrow" w:cs="Arial"/>
          <w:lang w:val="sk-SK"/>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6F737A7E" w14:textId="77777777" w:rsidR="00F26D63" w:rsidRPr="00117388" w:rsidRDefault="00F26D63" w:rsidP="00F26D6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3C2F2ECE" w14:textId="77777777" w:rsidR="00F26D63" w:rsidRPr="00C610EB" w:rsidRDefault="00F26D63" w:rsidP="00F26D63">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7923786A" w14:textId="77777777" w:rsidR="00F26D63" w:rsidRPr="006C32E9" w:rsidRDefault="00F26D63" w:rsidP="00F26D63">
      <w:pPr>
        <w:numPr>
          <w:ilvl w:val="1"/>
          <w:numId w:val="43"/>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 xml:space="preserve">Miesta plnenia predmetu zákazky - </w:t>
      </w:r>
      <w:r w:rsidRPr="006C32E9">
        <w:rPr>
          <w:rFonts w:ascii="Arial Narrow" w:hAnsi="Arial Narrow" w:cs="Arial"/>
          <w:sz w:val="22"/>
          <w:lang w:val="x-none"/>
        </w:rPr>
        <w:t>Záchranná brigáda Hasičského a záchranného zboru v Žiline, Bánovská 8111, 010 01 Žilina</w:t>
      </w:r>
      <w:r>
        <w:rPr>
          <w:rFonts w:ascii="Arial Narrow" w:hAnsi="Arial Narrow" w:cs="Arial"/>
          <w:sz w:val="22"/>
        </w:rPr>
        <w:t>.</w:t>
      </w:r>
    </w:p>
    <w:p w14:paraId="60CF63B5" w14:textId="77777777" w:rsidR="00F26D63" w:rsidRDefault="00F26D63" w:rsidP="00F26D63">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0F30F17F" w14:textId="77777777" w:rsidR="00F26D63" w:rsidRDefault="00F26D63" w:rsidP="00F26D63">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7FA1B98" w14:textId="1899F130" w:rsidR="002031EB" w:rsidRPr="002031EB" w:rsidRDefault="002031EB" w:rsidP="002031EB">
      <w:pPr>
        <w:pStyle w:val="Odsekzoznamu"/>
        <w:numPr>
          <w:ilvl w:val="1"/>
          <w:numId w:val="16"/>
        </w:numPr>
        <w:tabs>
          <w:tab w:val="clear" w:pos="2160"/>
          <w:tab w:val="clear" w:pos="2880"/>
          <w:tab w:val="clear" w:pos="4500"/>
        </w:tabs>
        <w:ind w:left="567" w:hanging="567"/>
        <w:contextualSpacing/>
        <w:jc w:val="both"/>
        <w:rPr>
          <w:rFonts w:ascii="Arial Narrow" w:hAnsi="Arial Narrow" w:cs="Arial"/>
          <w:sz w:val="22"/>
          <w:szCs w:val="22"/>
        </w:rPr>
      </w:pPr>
      <w:bookmarkStart w:id="10" w:name="lehota_dodania"/>
      <w:bookmarkEnd w:id="10"/>
      <w:r w:rsidRPr="002031EB">
        <w:rPr>
          <w:rFonts w:ascii="Arial Narrow" w:hAnsi="Arial Narrow" w:cs="Arial"/>
          <w:sz w:val="22"/>
          <w:szCs w:val="22"/>
        </w:rPr>
        <w:t xml:space="preserve">Lehota dodania predmetu zákazky je stanovená najneskôr </w:t>
      </w:r>
      <w:r>
        <w:rPr>
          <w:rFonts w:ascii="Arial Narrow" w:hAnsi="Arial Narrow" w:cs="Arial"/>
          <w:sz w:val="22"/>
          <w:szCs w:val="22"/>
        </w:rPr>
        <w:t>dva (2) mesiace</w:t>
      </w:r>
      <w:r w:rsidRPr="002031EB">
        <w:rPr>
          <w:rFonts w:ascii="Arial Narrow" w:hAnsi="Arial Narrow" w:cs="Arial"/>
          <w:sz w:val="22"/>
          <w:szCs w:val="22"/>
        </w:rPr>
        <w:t xml:space="preserve"> od nadobudnutia účinnosti  Zmluvy.</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6E14D41E" w14:textId="6C24F2DB" w:rsidR="00700C8A" w:rsidRPr="00700C8A" w:rsidRDefault="00700C8A" w:rsidP="00467403">
      <w:pPr>
        <w:pStyle w:val="Zarkazkladnhotextu2"/>
        <w:numPr>
          <w:ilvl w:val="1"/>
          <w:numId w:val="32"/>
        </w:numPr>
        <w:spacing w:before="120" w:line="240" w:lineRule="auto"/>
        <w:ind w:left="567" w:hanging="567"/>
        <w:jc w:val="both"/>
        <w:rPr>
          <w:rFonts w:ascii="Arial Narrow" w:hAnsi="Arial Narrow" w:cs="Arial"/>
        </w:rPr>
      </w:pPr>
      <w:bookmarkStart w:id="11" w:name="financovanie"/>
      <w:bookmarkEnd w:id="11"/>
      <w:r w:rsidRPr="006971EA">
        <w:rPr>
          <w:rFonts w:ascii="Arial Narrow" w:hAnsi="Arial Narrow" w:cs="Arial"/>
        </w:rPr>
        <w:t>Pred</w:t>
      </w:r>
      <w:r w:rsidRPr="00700C8A">
        <w:rPr>
          <w:rFonts w:ascii="Arial Narrow" w:hAnsi="Arial Narrow" w:cs="Arial"/>
        </w:rPr>
        <w:t xml:space="preserve">met zákazky bude financovaný </w:t>
      </w:r>
      <w:r>
        <w:rPr>
          <w:rFonts w:ascii="Arial Narrow" w:hAnsi="Arial Narrow" w:cs="Arial"/>
          <w:lang w:val="sk-SK"/>
        </w:rPr>
        <w:t xml:space="preserve">zo zdrojov poskytovaných </w:t>
      </w:r>
      <w:r w:rsidRPr="00700C8A">
        <w:rPr>
          <w:rFonts w:ascii="Arial Narrow" w:hAnsi="Arial Narrow" w:cs="Arial"/>
          <w:lang w:val="sk-SK"/>
        </w:rPr>
        <w:t xml:space="preserve">projektov: </w:t>
      </w:r>
      <w:r w:rsidRPr="00700C8A">
        <w:rPr>
          <w:rFonts w:ascii="Arial Narrow" w:hAnsi="Arial Narrow"/>
          <w:lang w:val="sk-SK"/>
        </w:rPr>
        <w:t>310031BAX3</w:t>
      </w:r>
      <w:r w:rsidRPr="00700C8A">
        <w:rPr>
          <w:rFonts w:ascii="Arial Narrow" w:hAnsi="Arial Narrow"/>
        </w:rPr>
        <w:t xml:space="preserve"> – </w:t>
      </w:r>
      <w:r w:rsidRPr="00700C8A">
        <w:rPr>
          <w:rFonts w:ascii="Arial Narrow" w:hAnsi="Arial Narrow"/>
          <w:lang w:val="sk-SK"/>
        </w:rPr>
        <w:t>Mobilná komunikácia HaZZ z operačného programu „Kvalita životného prostredia“.</w:t>
      </w:r>
    </w:p>
    <w:p w14:paraId="0B8CD0D6" w14:textId="1F8ADFE1" w:rsidR="006971EA" w:rsidRPr="006971EA" w:rsidRDefault="006971EA" w:rsidP="006971EA">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Pr>
          <w:rFonts w:ascii="Arial Narrow" w:hAnsi="Arial Narrow" w:cs="Arial"/>
          <w:lang w:val="sk-SK"/>
        </w:rPr>
        <w:t>188 036,08</w:t>
      </w:r>
      <w:r>
        <w:rPr>
          <w:b/>
          <w:bCs/>
          <w:color w:val="1F497D"/>
        </w:rPr>
        <w:t xml:space="preserve"> </w:t>
      </w:r>
      <w:r w:rsidRPr="005675C8">
        <w:rPr>
          <w:rFonts w:ascii="Arial Narrow" w:hAnsi="Arial Narrow" w:cs="Arial"/>
        </w:rPr>
        <w:t>EUR</w:t>
      </w:r>
      <w:r>
        <w:rPr>
          <w:rFonts w:ascii="Arial Narrow" w:hAnsi="Arial Narrow" w:cs="Arial"/>
        </w:rPr>
        <w:t xml:space="preserve"> bez DPH</w:t>
      </w:r>
      <w:r>
        <w:rPr>
          <w:rFonts w:ascii="Arial Narrow" w:hAnsi="Arial Narrow" w:cs="Arial"/>
          <w:lang w:val="sk-SK"/>
        </w:rPr>
        <w:t xml:space="preserve"> pre jednotlivé časti:</w:t>
      </w:r>
    </w:p>
    <w:p w14:paraId="3F31E23B" w14:textId="0E850CD0"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Nafukovací stan </w:t>
      </w:r>
      <w:r w:rsidR="001C4CCA">
        <w:rPr>
          <w:rFonts w:ascii="Arial Narrow" w:hAnsi="Arial Narrow" w:cs="Arial"/>
          <w:lang w:val="sk-SK"/>
        </w:rPr>
        <w:t xml:space="preserve">s príslušenstvom </w:t>
      </w:r>
      <w:bookmarkStart w:id="12" w:name="_GoBack"/>
      <w:bookmarkEnd w:id="12"/>
      <w:r>
        <w:rPr>
          <w:rFonts w:ascii="Arial Narrow" w:hAnsi="Arial Narrow" w:cs="Arial"/>
          <w:lang w:val="sk-SK"/>
        </w:rPr>
        <w:t>– 119 216,67 EUR bez DPH</w:t>
      </w:r>
    </w:p>
    <w:p w14:paraId="77C0D22A" w14:textId="338A4D39" w:rsidR="006971EA" w:rsidRDefault="006971EA" w:rsidP="006971EA">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Poľný stôl – 35 219,41 EUR bez DPH</w:t>
      </w:r>
    </w:p>
    <w:p w14:paraId="0F753BFC" w14:textId="4DC78388" w:rsidR="006971EA" w:rsidRPr="008C1FAC" w:rsidRDefault="006971EA" w:rsidP="006971EA">
      <w:pPr>
        <w:pStyle w:val="Zarkazkladnhotextu2"/>
        <w:spacing w:after="0" w:line="240" w:lineRule="auto"/>
        <w:ind w:left="567"/>
        <w:jc w:val="both"/>
        <w:rPr>
          <w:rFonts w:ascii="Arial Narrow" w:hAnsi="Arial Narrow" w:cs="Arial"/>
        </w:rPr>
      </w:pPr>
      <w:r>
        <w:rPr>
          <w:rFonts w:ascii="Arial Narrow" w:hAnsi="Arial Narrow" w:cs="Arial"/>
          <w:lang w:val="sk-SK"/>
        </w:rPr>
        <w:t>Časť 3 – Klimatizačná jednotka – 33 600,00 EUR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lastRenderedPageBreak/>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lastRenderedPageBreak/>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6"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62DE6771" w14:textId="77777777" w:rsidR="00A06DD1" w:rsidRDefault="00A06DD1"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3AFB5239"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hodnotenie po</w:t>
      </w:r>
      <w:r w:rsidR="00E73D04">
        <w:rPr>
          <w:rFonts w:ascii="Arial Narrow" w:hAnsi="Arial Narrow"/>
          <w:smallCaps/>
          <w:sz w:val="22"/>
          <w:szCs w:val="22"/>
        </w:rPr>
        <w:t>núk a splnenia podmienok účasti</w:t>
      </w:r>
      <w:r w:rsidR="00982796" w:rsidRPr="00DE69B5">
        <w:rPr>
          <w:rFonts w:ascii="Arial Narrow" w:hAnsi="Arial Narrow"/>
          <w:smallCaps/>
          <w:sz w:val="22"/>
          <w:szCs w:val="22"/>
        </w:rPr>
        <w:t xml:space="preserve">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E73D04">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2C277EFC" w:rsidR="00CB2253" w:rsidRPr="00A06DD1" w:rsidRDefault="00CB2253" w:rsidP="00A06DD1">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A06DD1">
        <w:rPr>
          <w:rFonts w:ascii="Arial Narrow" w:hAnsi="Arial Narrow" w:cs="Arial"/>
          <w:sz w:val="22"/>
          <w:szCs w:val="22"/>
        </w:rPr>
        <w:t>Kúpna zmluva. Pre každú časť  zákazky sa uzavrie osobitná Kúpna zmluva s jedným dodávateľom.</w:t>
      </w:r>
    </w:p>
    <w:p w14:paraId="5FD14046" w14:textId="11F99C62"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A06DD1">
        <w:rPr>
          <w:rFonts w:ascii="Arial Narrow" w:hAnsi="Arial Narrow" w:cs="Arial"/>
          <w:sz w:val="22"/>
          <w:szCs w:val="22"/>
        </w:rPr>
        <w:t>Kúpnu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A06DD1">
        <w:rPr>
          <w:rFonts w:ascii="Arial Narrow" w:hAnsi="Arial Narrow" w:cs="Arial"/>
          <w:sz w:val="22"/>
          <w:szCs w:val="22"/>
        </w:rPr>
        <w:t>Proces</w:t>
      </w:r>
      <w:r>
        <w:rPr>
          <w:rFonts w:ascii="Arial Narrow" w:hAnsi="Arial Narrow" w:cs="Arial"/>
          <w:sz w:val="22"/>
          <w:szCs w:val="22"/>
        </w:rPr>
        <w:t xml:space="preserve">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7A78CDBC" w14:textId="0B213366" w:rsidR="00A9183B" w:rsidRPr="00320943" w:rsidRDefault="00A9183B" w:rsidP="00320943">
      <w:pPr>
        <w:pStyle w:val="Odsekzoznamu"/>
        <w:tabs>
          <w:tab w:val="clear" w:pos="2160"/>
          <w:tab w:val="clear" w:pos="2880"/>
          <w:tab w:val="left" w:pos="993"/>
        </w:tabs>
        <w:jc w:val="both"/>
        <w:rPr>
          <w:rFonts w:ascii="Arial Narrow" w:hAnsi="Arial Narrow"/>
          <w:sz w:val="22"/>
        </w:rPr>
      </w:pPr>
      <w:r w:rsidRPr="00B304BD">
        <w:rPr>
          <w:rFonts w:ascii="Arial Narrow" w:hAnsi="Arial Narrow"/>
          <w:sz w:val="22"/>
        </w:rPr>
        <w:t xml:space="preserve">     </w:t>
      </w:r>
      <w:r w:rsidRPr="00320943">
        <w:rPr>
          <w:rFonts w:ascii="Arial Narrow" w:hAnsi="Arial Narrow"/>
          <w:sz w:val="22"/>
        </w:rPr>
        <w:t xml:space="preserve">   </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E3C1D" w14:textId="77777777" w:rsidR="00943FCF" w:rsidRDefault="00943FCF" w:rsidP="00116B5E">
      <w:pPr>
        <w:spacing w:after="0" w:line="240" w:lineRule="auto"/>
      </w:pPr>
      <w:r>
        <w:separator/>
      </w:r>
    </w:p>
  </w:endnote>
  <w:endnote w:type="continuationSeparator" w:id="0">
    <w:p w14:paraId="2D6969F0" w14:textId="77777777" w:rsidR="00943FCF" w:rsidRDefault="00943FC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C4CCA">
      <w:rPr>
        <w:rFonts w:ascii="Arial Narrow" w:hAnsi="Arial Narrow"/>
        <w:noProof/>
        <w:szCs w:val="20"/>
      </w:rPr>
      <w:t>6</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647DF" w14:textId="77777777" w:rsidR="00943FCF" w:rsidRDefault="00943FCF" w:rsidP="00116B5E">
      <w:pPr>
        <w:spacing w:after="0" w:line="240" w:lineRule="auto"/>
      </w:pPr>
      <w:r>
        <w:separator/>
      </w:r>
    </w:p>
  </w:footnote>
  <w:footnote w:type="continuationSeparator" w:id="0">
    <w:p w14:paraId="6C580386" w14:textId="77777777" w:rsidR="00943FCF" w:rsidRDefault="00943FCF"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8"/>
  </w:num>
  <w:num w:numId="3">
    <w:abstractNumId w:val="31"/>
  </w:num>
  <w:num w:numId="4">
    <w:abstractNumId w:val="24"/>
  </w:num>
  <w:num w:numId="5">
    <w:abstractNumId w:val="37"/>
  </w:num>
  <w:num w:numId="6">
    <w:abstractNumId w:val="39"/>
  </w:num>
  <w:num w:numId="7">
    <w:abstractNumId w:val="5"/>
  </w:num>
  <w:num w:numId="8">
    <w:abstractNumId w:val="14"/>
  </w:num>
  <w:num w:numId="9">
    <w:abstractNumId w:val="28"/>
  </w:num>
  <w:num w:numId="10">
    <w:abstractNumId w:val="34"/>
  </w:num>
  <w:num w:numId="11">
    <w:abstractNumId w:val="22"/>
  </w:num>
  <w:num w:numId="12">
    <w:abstractNumId w:val="6"/>
  </w:num>
  <w:num w:numId="13">
    <w:abstractNumId w:val="17"/>
  </w:num>
  <w:num w:numId="14">
    <w:abstractNumId w:val="9"/>
  </w:num>
  <w:num w:numId="15">
    <w:abstractNumId w:val="10"/>
  </w:num>
  <w:num w:numId="16">
    <w:abstractNumId w:val="41"/>
  </w:num>
  <w:num w:numId="17">
    <w:abstractNumId w:val="38"/>
  </w:num>
  <w:num w:numId="18">
    <w:abstractNumId w:val="26"/>
  </w:num>
  <w:num w:numId="19">
    <w:abstractNumId w:val="23"/>
  </w:num>
  <w:num w:numId="20">
    <w:abstractNumId w:val="20"/>
  </w:num>
  <w:num w:numId="21">
    <w:abstractNumId w:val="4"/>
  </w:num>
  <w:num w:numId="22">
    <w:abstractNumId w:val="27"/>
  </w:num>
  <w:num w:numId="23">
    <w:abstractNumId w:val="13"/>
  </w:num>
  <w:num w:numId="24">
    <w:abstractNumId w:val="1"/>
  </w:num>
  <w:num w:numId="25">
    <w:abstractNumId w:val="42"/>
  </w:num>
  <w:num w:numId="26">
    <w:abstractNumId w:val="32"/>
  </w:num>
  <w:num w:numId="27">
    <w:abstractNumId w:val="21"/>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3"/>
  </w:num>
  <w:num w:numId="34">
    <w:abstractNumId w:val="29"/>
  </w:num>
  <w:num w:numId="35">
    <w:abstractNumId w:val="35"/>
  </w:num>
  <w:num w:numId="36">
    <w:abstractNumId w:val="19"/>
  </w:num>
  <w:num w:numId="37">
    <w:abstractNumId w:val="30"/>
  </w:num>
  <w:num w:numId="38">
    <w:abstractNumId w:val="25"/>
  </w:num>
  <w:num w:numId="39">
    <w:abstractNumId w:val="16"/>
  </w:num>
  <w:num w:numId="40">
    <w:abstractNumId w:val="36"/>
  </w:num>
  <w:num w:numId="41">
    <w:abstractNumId w:val="7"/>
  </w:num>
  <w:num w:numId="42">
    <w:abstractNumId w:val="12"/>
  </w:num>
  <w:num w:numId="43">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27E9"/>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1D28"/>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4CCA"/>
    <w:rsid w:val="001C6231"/>
    <w:rsid w:val="001C795D"/>
    <w:rsid w:val="001D1AF3"/>
    <w:rsid w:val="001D363D"/>
    <w:rsid w:val="001D5643"/>
    <w:rsid w:val="001D61C1"/>
    <w:rsid w:val="001D75E7"/>
    <w:rsid w:val="001E161A"/>
    <w:rsid w:val="001E1C18"/>
    <w:rsid w:val="001E26B7"/>
    <w:rsid w:val="001E51EB"/>
    <w:rsid w:val="001F0DD6"/>
    <w:rsid w:val="001F2D97"/>
    <w:rsid w:val="001F3828"/>
    <w:rsid w:val="001F3C49"/>
    <w:rsid w:val="001F4436"/>
    <w:rsid w:val="001F4B20"/>
    <w:rsid w:val="001F79D3"/>
    <w:rsid w:val="002029F2"/>
    <w:rsid w:val="00202AC8"/>
    <w:rsid w:val="002031EB"/>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39D6"/>
    <w:rsid w:val="002B4527"/>
    <w:rsid w:val="002B50EC"/>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1A3"/>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5EC"/>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4E7"/>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708"/>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971EA"/>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C8A"/>
    <w:rsid w:val="00702051"/>
    <w:rsid w:val="00702C71"/>
    <w:rsid w:val="00702E6A"/>
    <w:rsid w:val="00703678"/>
    <w:rsid w:val="00705B3A"/>
    <w:rsid w:val="007069A4"/>
    <w:rsid w:val="0070737E"/>
    <w:rsid w:val="00712C0B"/>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1FD3"/>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D7BA1"/>
    <w:rsid w:val="008F1417"/>
    <w:rsid w:val="008F16B1"/>
    <w:rsid w:val="008F33A5"/>
    <w:rsid w:val="008F4356"/>
    <w:rsid w:val="008F473C"/>
    <w:rsid w:val="008F5E69"/>
    <w:rsid w:val="00901C4E"/>
    <w:rsid w:val="00905F8E"/>
    <w:rsid w:val="00906C26"/>
    <w:rsid w:val="00911EEA"/>
    <w:rsid w:val="00911EF3"/>
    <w:rsid w:val="00916319"/>
    <w:rsid w:val="00920006"/>
    <w:rsid w:val="00923ACE"/>
    <w:rsid w:val="009243F6"/>
    <w:rsid w:val="00924659"/>
    <w:rsid w:val="0092694D"/>
    <w:rsid w:val="00927045"/>
    <w:rsid w:val="00927D03"/>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3FCF"/>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06DD1"/>
    <w:rsid w:val="00A10432"/>
    <w:rsid w:val="00A15271"/>
    <w:rsid w:val="00A15D33"/>
    <w:rsid w:val="00A165DE"/>
    <w:rsid w:val="00A167E4"/>
    <w:rsid w:val="00A20161"/>
    <w:rsid w:val="00A21365"/>
    <w:rsid w:val="00A221F6"/>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567"/>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66C84"/>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023"/>
    <w:rsid w:val="00E32AC5"/>
    <w:rsid w:val="00E32FC4"/>
    <w:rsid w:val="00E33C42"/>
    <w:rsid w:val="00E34298"/>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6D63"/>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66AB-84CE-45AE-8213-BE547C2D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4388</Words>
  <Characters>25017</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29347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2023-06-09T07:46:00Z</dcterms:modified>
</cp:coreProperties>
</file>