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060B" w14:textId="3D5D417D" w:rsidR="00560336" w:rsidRPr="00193B3B" w:rsidRDefault="009827B0" w:rsidP="009827B0">
      <w:pPr>
        <w:tabs>
          <w:tab w:val="left" w:pos="1522"/>
          <w:tab w:val="right" w:pos="9072"/>
        </w:tabs>
        <w:rPr>
          <w:rFonts w:ascii="Arial" w:eastAsia="Arial" w:hAnsi="Arial" w:cs="Arial"/>
          <w:smallCaps/>
          <w:sz w:val="18"/>
          <w:lang w:val="sk-SK"/>
        </w:rPr>
      </w:pPr>
      <w:r w:rsidRPr="00193B3B">
        <w:rPr>
          <w:rFonts w:ascii="Arial" w:eastAsia="Arial" w:hAnsi="Arial" w:cs="Arial"/>
          <w:sz w:val="18"/>
          <w:szCs w:val="18"/>
          <w:lang w:val="sk-SK"/>
        </w:rPr>
        <w:tab/>
      </w:r>
      <w:bookmarkStart w:id="0" w:name="_GoBack"/>
      <w:bookmarkEnd w:id="0"/>
      <w:r w:rsidRPr="00193B3B">
        <w:rPr>
          <w:rFonts w:ascii="Arial" w:eastAsia="Arial" w:hAnsi="Arial" w:cs="Arial"/>
          <w:sz w:val="18"/>
          <w:szCs w:val="18"/>
          <w:lang w:val="sk-SK"/>
        </w:rPr>
        <w:tab/>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55657256"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3F2BCC">
        <w:rPr>
          <w:rFonts w:ascii="Arial" w:eastAsia="Arial" w:hAnsi="Arial" w:cs="Arial"/>
          <w:b/>
          <w:smallCaps/>
          <w:lang w:val="sk-SK"/>
        </w:rPr>
        <w:t>- Návrh</w:t>
      </w:r>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Marek </w:t>
      </w:r>
      <w:proofErr w:type="spellStart"/>
      <w:r w:rsidR="00560336" w:rsidRPr="00193B3B">
        <w:rPr>
          <w:rFonts w:ascii="Arial" w:eastAsia="Arial" w:hAnsi="Arial" w:cs="Arial"/>
          <w:sz w:val="18"/>
          <w:szCs w:val="18"/>
          <w:lang w:val="sk-SK"/>
        </w:rPr>
        <w:t>Hattas</w:t>
      </w:r>
      <w:proofErr w:type="spellEnd"/>
      <w:r w:rsidR="00560336" w:rsidRPr="00193B3B">
        <w:rPr>
          <w:rFonts w:ascii="Arial" w:eastAsia="Arial" w:hAnsi="Arial" w:cs="Arial"/>
          <w:sz w:val="18"/>
          <w:szCs w:val="18"/>
          <w:lang w:val="sk-SK"/>
        </w:rPr>
        <w:t>,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081E1D5D"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 xml:space="preserve">3.1 - Stimulovanie podpory udržateľnej zamestnanosti a tvorby pracovných miest v kultúrnom a kreatívnom priemysle prostredníctvom vytvorenia </w:t>
      </w:r>
      <w:r w:rsidRPr="00193B3B">
        <w:rPr>
          <w:rFonts w:ascii="Arial" w:hAnsi="Arial" w:cs="Arial"/>
          <w:sz w:val="18"/>
          <w:szCs w:val="18"/>
          <w:lang w:val="sk-SK"/>
        </w:rPr>
        <w:lastRenderedPageBreak/>
        <w:t>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31A27C39"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36601A0C"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v areáli </w:t>
      </w:r>
      <w:r w:rsidR="00A35852" w:rsidRPr="00193B3B">
        <w:rPr>
          <w:rFonts w:ascii="Arial" w:eastAsia="Arial" w:hAnsi="Arial" w:cs="Arial"/>
          <w:b/>
          <w:sz w:val="18"/>
          <w:szCs w:val="18"/>
          <w:lang w:val="sk-SK"/>
        </w:rPr>
        <w:t>Kasární pod Zoborom na </w:t>
      </w:r>
      <w:r w:rsidR="007947A0" w:rsidRPr="00193B3B">
        <w:rPr>
          <w:rFonts w:ascii="Arial" w:eastAsia="Arial" w:hAnsi="Arial" w:cs="Arial"/>
          <w:b/>
          <w:sz w:val="18"/>
          <w:szCs w:val="18"/>
          <w:lang w:val="sk-SK"/>
        </w:rPr>
        <w:t xml:space="preserve">Martinskom vrchu, nachádzajúcich sa na parc. č. 4450/82-85, 4450/268 v kat. </w:t>
      </w:r>
      <w:proofErr w:type="spellStart"/>
      <w:r w:rsidR="007947A0" w:rsidRPr="00193B3B">
        <w:rPr>
          <w:rFonts w:ascii="Arial" w:eastAsia="Arial" w:hAnsi="Arial" w:cs="Arial"/>
          <w:b/>
          <w:sz w:val="18"/>
          <w:szCs w:val="18"/>
          <w:lang w:val="sk-SK"/>
        </w:rPr>
        <w:t>úz</w:t>
      </w:r>
      <w:proofErr w:type="spellEnd"/>
      <w:r w:rsidR="007947A0" w:rsidRPr="00193B3B">
        <w:rPr>
          <w:rFonts w:ascii="Arial" w:eastAsia="Arial" w:hAnsi="Arial" w:cs="Arial"/>
          <w:b/>
          <w:sz w:val="18"/>
          <w:szCs w:val="18"/>
          <w:lang w:val="sk-SK"/>
        </w:rPr>
        <w:t xml:space="preserve">. Zobor, </w:t>
      </w:r>
      <w:proofErr w:type="spellStart"/>
      <w:r w:rsidR="007947A0" w:rsidRPr="00193B3B">
        <w:rPr>
          <w:rFonts w:ascii="Arial" w:eastAsia="Arial" w:hAnsi="Arial" w:cs="Arial"/>
          <w:b/>
          <w:sz w:val="18"/>
          <w:szCs w:val="18"/>
          <w:lang w:val="sk-SK"/>
        </w:rPr>
        <w:t>okr</w:t>
      </w:r>
      <w:proofErr w:type="spellEnd"/>
      <w:r w:rsidR="007947A0" w:rsidRPr="00193B3B">
        <w:rPr>
          <w:rFonts w:ascii="Arial" w:eastAsia="Arial" w:hAnsi="Arial" w:cs="Arial"/>
          <w:b/>
          <w:sz w:val="18"/>
          <w:szCs w:val="18"/>
          <w:lang w:val="sk-SK"/>
        </w:rPr>
        <w:t>. Nitra, obec Nitra</w:t>
      </w:r>
      <w:r w:rsidR="001C6DB9" w:rsidRPr="00193B3B">
        <w:rPr>
          <w:rFonts w:ascii="Arial" w:eastAsia="Arial" w:hAnsi="Arial" w:cs="Arial"/>
          <w:b/>
          <w:sz w:val="18"/>
          <w:szCs w:val="18"/>
          <w:lang w:val="sk-SK"/>
        </w:rPr>
        <w:t xml:space="preserve"> </w:t>
      </w:r>
      <w:r w:rsidR="001C6DB9" w:rsidRPr="00193B3B">
        <w:rPr>
          <w:rFonts w:ascii="Arial" w:eastAsia="Arial" w:hAnsi="Arial" w:cs="Arial"/>
          <w:sz w:val="18"/>
          <w:szCs w:val="18"/>
          <w:lang w:val="sk-SK"/>
        </w:rPr>
        <w:t>(ďalej len „Kasárne“)</w:t>
      </w:r>
      <w:r w:rsidR="001D1056" w:rsidRPr="00193B3B">
        <w:rPr>
          <w:rFonts w:ascii="Arial" w:eastAsia="Arial" w:hAnsi="Arial" w:cs="Arial"/>
          <w:sz w:val="18"/>
          <w:szCs w:val="18"/>
          <w:lang w:val="sk-SK"/>
        </w:rPr>
        <w:t xml:space="preserve"> </w:t>
      </w:r>
      <w:r w:rsidRPr="00193B3B">
        <w:rPr>
          <w:rFonts w:ascii="Arial" w:eastAsia="Arial" w:hAnsi="Arial" w:cs="Arial"/>
          <w:sz w:val="18"/>
          <w:szCs w:val="18"/>
          <w:lang w:val="sk-SK"/>
        </w:rPr>
        <w:t>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4429F2EC" w14:textId="0BCBE889" w:rsidR="00560336" w:rsidRPr="00554374" w:rsidRDefault="00560336" w:rsidP="00281BF0">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554374">
        <w:rPr>
          <w:rFonts w:ascii="Arial" w:eastAsia="Arial" w:hAnsi="Arial" w:cs="Arial"/>
          <w:b/>
          <w:sz w:val="18"/>
          <w:szCs w:val="18"/>
          <w:lang w:val="sk-SK"/>
        </w:rPr>
        <w:t>služby spojené s dodaním tovaru</w:t>
      </w:r>
      <w:r w:rsidR="0021304E" w:rsidRPr="00554374">
        <w:rPr>
          <w:rFonts w:ascii="Arial" w:eastAsia="Arial" w:hAnsi="Arial" w:cs="Arial"/>
          <w:b/>
          <w:sz w:val="18"/>
          <w:szCs w:val="18"/>
          <w:lang w:val="sk-SK"/>
        </w:rPr>
        <w:t xml:space="preserve"> uvedeného v Prílohe č. 1</w:t>
      </w:r>
      <w:r w:rsidRPr="00554374">
        <w:rPr>
          <w:rFonts w:ascii="Arial" w:eastAsia="Arial" w:hAnsi="Arial" w:cs="Arial"/>
          <w:sz w:val="18"/>
          <w:szCs w:val="18"/>
          <w:lang w:val="sk-SK"/>
        </w:rPr>
        <w:t>, t.</w:t>
      </w:r>
      <w:r w:rsidR="002A11DF" w:rsidRPr="00554374">
        <w:rPr>
          <w:rFonts w:ascii="Arial" w:eastAsia="Arial" w:hAnsi="Arial" w:cs="Arial"/>
          <w:sz w:val="18"/>
          <w:szCs w:val="18"/>
          <w:lang w:val="sk-SK"/>
        </w:rPr>
        <w:t xml:space="preserve"> </w:t>
      </w:r>
      <w:r w:rsidRPr="00554374">
        <w:rPr>
          <w:rFonts w:ascii="Arial" w:eastAsia="Arial" w:hAnsi="Arial" w:cs="Arial"/>
          <w:sz w:val="18"/>
          <w:szCs w:val="18"/>
          <w:lang w:val="sk-SK"/>
        </w:rPr>
        <w:t>j. konzultácie s kupujúci</w:t>
      </w:r>
      <w:r w:rsidR="0033421F" w:rsidRPr="00554374">
        <w:rPr>
          <w:rFonts w:ascii="Arial" w:eastAsia="Arial" w:hAnsi="Arial" w:cs="Arial"/>
          <w:sz w:val="18"/>
          <w:szCs w:val="18"/>
          <w:lang w:val="sk-SK"/>
        </w:rPr>
        <w:t>m ohľadom koordinácie logistiky</w:t>
      </w:r>
      <w:r w:rsidRPr="00554374">
        <w:rPr>
          <w:rFonts w:ascii="Arial" w:eastAsia="Arial" w:hAnsi="Arial" w:cs="Arial"/>
          <w:sz w:val="18"/>
          <w:szCs w:val="18"/>
          <w:lang w:val="sk-SK"/>
        </w:rPr>
        <w:t xml:space="preserve"> </w:t>
      </w:r>
      <w:r w:rsidR="0033421F" w:rsidRPr="00554374">
        <w:rPr>
          <w:rFonts w:ascii="Arial" w:eastAsia="Arial" w:hAnsi="Arial" w:cs="Arial"/>
          <w:sz w:val="18"/>
          <w:szCs w:val="18"/>
          <w:lang w:val="sk-SK"/>
        </w:rPr>
        <w:t xml:space="preserve">dodania tovaru </w:t>
      </w:r>
      <w:r w:rsidRPr="00554374">
        <w:rPr>
          <w:rFonts w:ascii="Arial" w:eastAsia="Arial" w:hAnsi="Arial" w:cs="Arial"/>
          <w:sz w:val="18"/>
          <w:szCs w:val="18"/>
          <w:lang w:val="sk-SK"/>
        </w:rPr>
        <w:t xml:space="preserve">v nadväznosti na realizáciu </w:t>
      </w:r>
      <w:r w:rsidR="00F15FDF" w:rsidRPr="00554374">
        <w:rPr>
          <w:rFonts w:ascii="Arial" w:eastAsia="Arial" w:hAnsi="Arial" w:cs="Arial"/>
          <w:sz w:val="18"/>
          <w:szCs w:val="18"/>
          <w:lang w:val="sk-SK"/>
        </w:rPr>
        <w:t>diela</w:t>
      </w:r>
      <w:r w:rsidRPr="00554374">
        <w:rPr>
          <w:rFonts w:ascii="Arial" w:eastAsia="Arial" w:hAnsi="Arial" w:cs="Arial"/>
          <w:sz w:val="18"/>
          <w:szCs w:val="18"/>
          <w:lang w:val="sk-SK"/>
        </w:rPr>
        <w:t xml:space="preserve"> „</w:t>
      </w:r>
      <w:r w:rsidR="00F15FDF" w:rsidRPr="00554374">
        <w:rPr>
          <w:rFonts w:ascii="Arial" w:hAnsi="Arial" w:cs="Arial"/>
          <w:sz w:val="18"/>
          <w:szCs w:val="18"/>
          <w:lang w:val="sk-SK" w:eastAsia="ar-SA"/>
        </w:rPr>
        <w:t>Stavebné práce - Kreatívne centrum Nitra – Martinský vrch</w:t>
      </w:r>
      <w:r w:rsidRPr="00554374">
        <w:rPr>
          <w:rFonts w:ascii="Arial" w:eastAsia="Arial" w:hAnsi="Arial" w:cs="Arial"/>
          <w:sz w:val="18"/>
          <w:szCs w:val="18"/>
          <w:lang w:val="sk-SK"/>
        </w:rPr>
        <w:t xml:space="preserve">“ na základe zmluvy o dielo č. </w:t>
      </w:r>
      <w:r w:rsidR="00F15FDF" w:rsidRPr="00554374">
        <w:rPr>
          <w:rFonts w:ascii="Arial" w:eastAsia="Arial" w:hAnsi="Arial" w:cs="Arial"/>
          <w:sz w:val="18"/>
          <w:szCs w:val="18"/>
          <w:lang w:val="sk-SK"/>
        </w:rPr>
        <w:t>363</w:t>
      </w:r>
      <w:r w:rsidRPr="00554374">
        <w:rPr>
          <w:rFonts w:ascii="Arial" w:eastAsia="Arial" w:hAnsi="Arial" w:cs="Arial"/>
          <w:sz w:val="18"/>
          <w:szCs w:val="18"/>
          <w:lang w:val="sk-SK"/>
        </w:rPr>
        <w:t>/2022/</w:t>
      </w:r>
      <w:proofErr w:type="spellStart"/>
      <w:r w:rsidR="00F15FDF" w:rsidRPr="00554374">
        <w:rPr>
          <w:rFonts w:ascii="Arial" w:eastAsia="Arial" w:hAnsi="Arial" w:cs="Arial"/>
          <w:sz w:val="18"/>
          <w:szCs w:val="18"/>
          <w:lang w:val="sk-SK"/>
        </w:rPr>
        <w:t>KreaC</w:t>
      </w:r>
      <w:proofErr w:type="spellEnd"/>
      <w:r w:rsidRPr="00554374">
        <w:rPr>
          <w:rFonts w:ascii="Arial" w:eastAsia="Arial" w:hAnsi="Arial" w:cs="Arial"/>
          <w:sz w:val="18"/>
          <w:szCs w:val="18"/>
          <w:lang w:val="sk-SK"/>
        </w:rPr>
        <w:t xml:space="preserve"> zo dňa 2</w:t>
      </w:r>
      <w:r w:rsidR="00F15FDF" w:rsidRPr="00554374">
        <w:rPr>
          <w:rFonts w:ascii="Arial" w:eastAsia="Arial" w:hAnsi="Arial" w:cs="Arial"/>
          <w:sz w:val="18"/>
          <w:szCs w:val="18"/>
          <w:lang w:val="sk-SK"/>
        </w:rPr>
        <w:t>3</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02</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w:t>
      </w:r>
      <w:r w:rsidRPr="00554374">
        <w:rPr>
          <w:rFonts w:ascii="Arial" w:eastAsia="Arial" w:hAnsi="Arial" w:cs="Arial"/>
          <w:sz w:val="18"/>
          <w:szCs w:val="18"/>
          <w:lang w:val="sk-SK"/>
        </w:rPr>
        <w:t>2022 uzatvorenej medzi kupujúcim a</w:t>
      </w:r>
      <w:r w:rsidR="001C6DB9" w:rsidRPr="00554374">
        <w:rPr>
          <w:rFonts w:ascii="Arial" w:eastAsia="Arial" w:hAnsi="Arial" w:cs="Arial"/>
          <w:sz w:val="18"/>
          <w:szCs w:val="18"/>
          <w:lang w:val="sk-SK"/>
        </w:rPr>
        <w:t> dodávateľom (</w:t>
      </w:r>
      <w:r w:rsidRPr="00554374">
        <w:rPr>
          <w:rFonts w:ascii="Arial" w:eastAsia="Arial" w:hAnsi="Arial" w:cs="Arial"/>
          <w:sz w:val="18"/>
          <w:szCs w:val="18"/>
          <w:lang w:val="sk-SK"/>
        </w:rPr>
        <w:t>zhotoviteľom stavby</w:t>
      </w:r>
      <w:r w:rsidR="001C6DB9" w:rsidRPr="00554374">
        <w:rPr>
          <w:rFonts w:ascii="Arial" w:eastAsia="Arial" w:hAnsi="Arial" w:cs="Arial"/>
          <w:sz w:val="18"/>
          <w:szCs w:val="18"/>
          <w:lang w:val="sk-SK"/>
        </w:rPr>
        <w:t>)</w:t>
      </w:r>
      <w:r w:rsidRPr="00554374">
        <w:rPr>
          <w:rFonts w:ascii="Arial" w:eastAsia="Arial" w:hAnsi="Arial" w:cs="Arial"/>
          <w:sz w:val="18"/>
          <w:szCs w:val="18"/>
          <w:lang w:val="sk-SK"/>
        </w:rPr>
        <w:t xml:space="preserve"> na stavenisku v areáli </w:t>
      </w:r>
      <w:r w:rsidR="001C6DB9" w:rsidRPr="00554374">
        <w:rPr>
          <w:rFonts w:ascii="Arial" w:eastAsia="Arial" w:hAnsi="Arial" w:cs="Arial"/>
          <w:sz w:val="18"/>
          <w:szCs w:val="18"/>
          <w:lang w:val="sk-SK"/>
        </w:rPr>
        <w:t>Kasární</w:t>
      </w:r>
      <w:r w:rsidR="00142FCF" w:rsidRPr="00554374">
        <w:rPr>
          <w:rFonts w:ascii="Arial" w:eastAsia="Arial" w:hAnsi="Arial" w:cs="Arial"/>
          <w:sz w:val="18"/>
          <w:szCs w:val="18"/>
          <w:lang w:val="sk-SK"/>
        </w:rPr>
        <w:t>, zverejnenej na webovom sídle</w:t>
      </w:r>
      <w:r w:rsidRPr="00554374">
        <w:rPr>
          <w:rFonts w:ascii="Arial" w:eastAsia="Arial" w:hAnsi="Arial" w:cs="Arial"/>
          <w:sz w:val="18"/>
          <w:szCs w:val="18"/>
          <w:lang w:val="sk-SK"/>
        </w:rPr>
        <w:t xml:space="preserve"> </w:t>
      </w:r>
      <w:r w:rsidR="001C6DB9" w:rsidRPr="00554374">
        <w:rPr>
          <w:rFonts w:ascii="Arial" w:eastAsia="Arial" w:hAnsi="Arial" w:cs="Arial"/>
          <w:sz w:val="18"/>
          <w:szCs w:val="18"/>
          <w:lang w:val="sk-SK"/>
        </w:rPr>
        <w:t>https://nitra.sk/zmluvy/</w:t>
      </w:r>
      <w:r w:rsidR="0033421F" w:rsidRPr="00554374">
        <w:rPr>
          <w:rFonts w:ascii="Arial" w:eastAsia="Arial" w:hAnsi="Arial" w:cs="Arial"/>
          <w:sz w:val="18"/>
          <w:szCs w:val="18"/>
          <w:lang w:val="sk-SK"/>
        </w:rPr>
        <w:t xml:space="preserve"> (ďalej len „Zmluva o</w:t>
      </w:r>
      <w:r w:rsidR="00620CA1" w:rsidRPr="00554374">
        <w:rPr>
          <w:rFonts w:ascii="Arial" w:eastAsia="Arial" w:hAnsi="Arial" w:cs="Arial"/>
          <w:sz w:val="18"/>
          <w:szCs w:val="18"/>
          <w:lang w:val="sk-SK"/>
        </w:rPr>
        <w:t> </w:t>
      </w:r>
      <w:r w:rsidR="0033421F" w:rsidRPr="00554374">
        <w:rPr>
          <w:rFonts w:ascii="Arial" w:eastAsia="Arial" w:hAnsi="Arial" w:cs="Arial"/>
          <w:sz w:val="18"/>
          <w:szCs w:val="18"/>
          <w:lang w:val="sk-SK"/>
        </w:rPr>
        <w:t>dielo“)</w:t>
      </w:r>
      <w:r w:rsidR="00554374" w:rsidRPr="00554374">
        <w:rPr>
          <w:rFonts w:ascii="Arial" w:eastAsia="Arial" w:hAnsi="Arial" w:cs="Arial"/>
          <w:sz w:val="18"/>
          <w:szCs w:val="18"/>
          <w:lang w:val="sk-SK"/>
        </w:rPr>
        <w:t xml:space="preserve"> </w:t>
      </w:r>
      <w:r w:rsidR="00142FCF" w:rsidRPr="00554374">
        <w:rPr>
          <w:rFonts w:ascii="Arial" w:eastAsia="Arial" w:hAnsi="Arial" w:cs="Arial"/>
          <w:sz w:val="18"/>
          <w:szCs w:val="18"/>
          <w:lang w:val="sk-SK"/>
        </w:rPr>
        <w:t>a</w:t>
      </w:r>
      <w:r w:rsidR="00554374">
        <w:rPr>
          <w:rFonts w:ascii="Arial" w:eastAsia="Arial" w:hAnsi="Arial" w:cs="Arial"/>
          <w:sz w:val="18"/>
          <w:szCs w:val="18"/>
          <w:lang w:val="sk-SK"/>
        </w:rPr>
        <w:t xml:space="preserve"> </w:t>
      </w:r>
      <w:r w:rsidRPr="00554374">
        <w:rPr>
          <w:rFonts w:ascii="Arial" w:eastAsia="Arial" w:hAnsi="Arial" w:cs="Arial"/>
          <w:sz w:val="18"/>
          <w:szCs w:val="18"/>
          <w:lang w:val="sk-SK"/>
        </w:rPr>
        <w:t xml:space="preserve">zabezpečenie dopravy </w:t>
      </w:r>
      <w:r w:rsidR="00645156" w:rsidRPr="00554374">
        <w:rPr>
          <w:rFonts w:ascii="Arial" w:eastAsia="Arial" w:hAnsi="Arial" w:cs="Arial"/>
          <w:sz w:val="18"/>
          <w:szCs w:val="18"/>
          <w:lang w:val="sk-SK"/>
        </w:rPr>
        <w:t xml:space="preserve">tovaru uvedeného v Prílohe č. 1 </w:t>
      </w:r>
      <w:r w:rsidRPr="00554374">
        <w:rPr>
          <w:rFonts w:ascii="Arial" w:eastAsia="Arial" w:hAnsi="Arial" w:cs="Arial"/>
          <w:sz w:val="18"/>
          <w:szCs w:val="18"/>
          <w:lang w:val="sk-SK"/>
        </w:rPr>
        <w:t>do miesta dodania, jeho vyloženie v mieste dodania,</w:t>
      </w:r>
      <w:r w:rsidR="00C571BD" w:rsidRPr="00554374">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20D1B2D1" w:rsidR="00560336" w:rsidRPr="00193B3B" w:rsidRDefault="00560336" w:rsidP="00560336">
      <w:pPr>
        <w:ind w:left="567"/>
        <w:jc w:val="both"/>
        <w:rPr>
          <w:rFonts w:ascii="Arial" w:eastAsia="Arial" w:hAnsi="Arial" w:cs="Arial"/>
          <w:sz w:val="18"/>
          <w:szCs w:val="18"/>
          <w:lang w:val="sk-SK"/>
        </w:rPr>
      </w:pPr>
      <w:r w:rsidRPr="00193B3B">
        <w:rPr>
          <w:rFonts w:ascii="Arial" w:eastAsia="Arial" w:hAnsi="Arial" w:cs="Arial"/>
          <w:sz w:val="18"/>
          <w:szCs w:val="18"/>
          <w:lang w:val="sk-SK"/>
        </w:rPr>
        <w:t>pričom splnenie týchto povinností predávajúceho, a to vo vzťahu ku všetkým</w:t>
      </w:r>
      <w:r w:rsidR="00975E66" w:rsidRPr="00193B3B">
        <w:rPr>
          <w:rFonts w:ascii="Arial" w:eastAsia="Arial" w:hAnsi="Arial" w:cs="Arial"/>
          <w:sz w:val="18"/>
          <w:szCs w:val="18"/>
          <w:lang w:val="sk-SK"/>
        </w:rPr>
        <w:t xml:space="preserve"> vyššie uvedeným</w:t>
      </w:r>
      <w:r w:rsidRPr="00193B3B">
        <w:rPr>
          <w:rFonts w:ascii="Arial" w:eastAsia="Arial" w:hAnsi="Arial" w:cs="Arial"/>
          <w:sz w:val="18"/>
          <w:szCs w:val="18"/>
          <w:lang w:val="sk-SK"/>
        </w:rPr>
        <w:t xml:space="preserve"> tov</w:t>
      </w:r>
      <w:r w:rsidR="00975E66" w:rsidRPr="00193B3B">
        <w:rPr>
          <w:rFonts w:ascii="Arial" w:eastAsia="Arial" w:hAnsi="Arial" w:cs="Arial"/>
          <w:sz w:val="18"/>
          <w:szCs w:val="18"/>
          <w:lang w:val="sk-SK"/>
        </w:rPr>
        <w:t>arom</w:t>
      </w:r>
      <w:r w:rsidRPr="00193B3B">
        <w:rPr>
          <w:rFonts w:ascii="Arial" w:eastAsia="Arial" w:hAnsi="Arial" w:cs="Arial"/>
          <w:sz w:val="18"/>
          <w:szCs w:val="18"/>
          <w:lang w:val="sk-SK"/>
        </w:rPr>
        <w:t xml:space="preserve">, sa potvrdzuje podpisom súhrnného dodacieho protokolu (ďalej len „Dodací protokol“). </w:t>
      </w:r>
      <w:r w:rsidR="00B60C31" w:rsidRPr="00193B3B">
        <w:rPr>
          <w:rFonts w:ascii="Arial" w:eastAsia="Arial" w:hAnsi="Arial" w:cs="Arial"/>
          <w:sz w:val="18"/>
          <w:szCs w:val="18"/>
          <w:lang w:val="sk-SK"/>
        </w:rPr>
        <w:t>Súčasťou</w:t>
      </w:r>
      <w:r w:rsidR="00B73C40">
        <w:rPr>
          <w:rFonts w:ascii="Arial" w:eastAsia="Arial" w:hAnsi="Arial" w:cs="Arial"/>
          <w:sz w:val="18"/>
          <w:szCs w:val="18"/>
          <w:lang w:val="sk-SK"/>
        </w:rPr>
        <w:t> </w:t>
      </w:r>
      <w:r w:rsidR="00B60C31" w:rsidRPr="00193B3B">
        <w:rPr>
          <w:rFonts w:ascii="Arial" w:eastAsia="Arial" w:hAnsi="Arial" w:cs="Arial"/>
          <w:sz w:val="18"/>
          <w:szCs w:val="18"/>
          <w:lang w:val="sk-SK"/>
        </w:rPr>
        <w:t>/</w:t>
      </w:r>
      <w:r w:rsidR="00B73C40">
        <w:rPr>
          <w:rFonts w:ascii="Arial" w:eastAsia="Arial" w:hAnsi="Arial" w:cs="Arial"/>
          <w:sz w:val="18"/>
          <w:szCs w:val="18"/>
          <w:lang w:val="sk-SK"/>
        </w:rPr>
        <w:t> </w:t>
      </w:r>
      <w:r w:rsidRPr="00193B3B">
        <w:rPr>
          <w:rFonts w:ascii="Arial" w:eastAsia="Arial" w:hAnsi="Arial" w:cs="Arial"/>
          <w:sz w:val="18"/>
          <w:szCs w:val="18"/>
          <w:lang w:val="sk-SK"/>
        </w:rPr>
        <w:t>obsahom Dodacieho protokolu bude potvrdenie druhu, mno</w:t>
      </w:r>
      <w:r w:rsidR="0021304E" w:rsidRPr="00193B3B">
        <w:rPr>
          <w:rFonts w:ascii="Arial" w:eastAsia="Arial" w:hAnsi="Arial" w:cs="Arial"/>
          <w:sz w:val="18"/>
          <w:szCs w:val="18"/>
          <w:lang w:val="sk-SK"/>
        </w:rPr>
        <w:t>žstva a kompletnosti</w:t>
      </w:r>
      <w:r w:rsidRPr="00193B3B">
        <w:rPr>
          <w:rFonts w:ascii="Arial" w:eastAsia="Arial" w:hAnsi="Arial" w:cs="Arial"/>
          <w:sz w:val="18"/>
          <w:szCs w:val="18"/>
          <w:lang w:val="sk-SK"/>
        </w:rPr>
        <w:t xml:space="preserve"> dodaného tovaru podľa dohodnutej technickej špecifikácie.</w:t>
      </w: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6EFA658A"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upujúcemu najneskôr pri podpise</w:t>
      </w:r>
      <w:r w:rsidRPr="00193B3B">
        <w:rPr>
          <w:rFonts w:ascii="Arial" w:eastAsia="Arial" w:hAnsi="Arial" w:cs="Arial"/>
          <w:sz w:val="18"/>
          <w:szCs w:val="18"/>
          <w:lang w:val="sk-SK"/>
        </w:rPr>
        <w:t xml:space="preserve"> Dodacieho protokolu (uvedené platí za predpokladu, že predmetné 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xml:space="preserve">) pracovných dní. </w:t>
      </w:r>
      <w:r w:rsidRPr="00193B3B">
        <w:rPr>
          <w:rFonts w:ascii="Arial" w:eastAsia="Arial" w:hAnsi="Arial" w:cs="Arial"/>
          <w:sz w:val="18"/>
          <w:szCs w:val="18"/>
          <w:lang w:val="sk-SK"/>
        </w:rPr>
        <w:lastRenderedPageBreak/>
        <w:t>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688E1586"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Dodací protokol.</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6D090D68" w:rsidR="00560336" w:rsidRPr="00D96252"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w:t>
      </w:r>
      <w:r w:rsidRPr="00D96252">
        <w:rPr>
          <w:rFonts w:ascii="Arial" w:eastAsia="Arial" w:hAnsi="Arial" w:cs="Arial"/>
          <w:sz w:val="18"/>
          <w:szCs w:val="18"/>
          <w:lang w:val="sk-SK"/>
        </w:rPr>
        <w:t xml:space="preserve">areálu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v ktor</w:t>
      </w:r>
      <w:r w:rsidR="00DE15FD" w:rsidRPr="00D96252">
        <w:rPr>
          <w:rFonts w:ascii="Arial" w:eastAsia="Arial" w:hAnsi="Arial" w:cs="Arial"/>
          <w:sz w:val="18"/>
          <w:szCs w:val="18"/>
          <w:lang w:val="sk-SK"/>
        </w:rPr>
        <w:t>ých</w:t>
      </w:r>
      <w:r w:rsidRPr="00D96252">
        <w:rPr>
          <w:rFonts w:ascii="Arial" w:eastAsia="Arial" w:hAnsi="Arial" w:cs="Arial"/>
          <w:sz w:val="18"/>
          <w:szCs w:val="18"/>
          <w:lang w:val="sk-SK"/>
        </w:rPr>
        <w:t xml:space="preserve"> budú súbežne prebiehať stavebné práce na základe</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Zmluvy o dielo, je presný termín začatia poskytovania služieb a prác, súvisiacich s inštaláciou tovaru na miesto dodania určené v tejto zmluve, závislý od postupu prác na realizácii diela podľa</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w:t>
      </w:r>
      <w:r w:rsidR="00DE15FD" w:rsidRPr="00D96252">
        <w:rPr>
          <w:rFonts w:ascii="Arial" w:eastAsia="Arial" w:hAnsi="Arial" w:cs="Arial"/>
          <w:sz w:val="18"/>
          <w:szCs w:val="18"/>
          <w:lang w:val="sk-SK"/>
        </w:rPr>
        <w:t>luvy o dielo</w:t>
      </w:r>
      <w:r w:rsidR="00931845" w:rsidRPr="00D96252">
        <w:rPr>
          <w:rFonts w:ascii="Arial" w:eastAsia="Arial" w:hAnsi="Arial" w:cs="Arial"/>
          <w:sz w:val="18"/>
          <w:szCs w:val="18"/>
          <w:lang w:val="sk-SK"/>
        </w:rPr>
        <w:t>.</w:t>
      </w:r>
    </w:p>
    <w:p w14:paraId="6060E994" w14:textId="575D6006" w:rsidR="00560336" w:rsidRPr="00193B3B" w:rsidRDefault="00560336" w:rsidP="00CF42D3">
      <w:pPr>
        <w:numPr>
          <w:ilvl w:val="2"/>
          <w:numId w:val="2"/>
        </w:numPr>
        <w:ind w:left="1134" w:hanging="567"/>
        <w:jc w:val="both"/>
        <w:rPr>
          <w:rFonts w:ascii="Arial" w:eastAsia="Arial" w:hAnsi="Arial" w:cs="Arial"/>
          <w:sz w:val="18"/>
          <w:szCs w:val="18"/>
          <w:lang w:val="sk-SK"/>
        </w:rPr>
      </w:pPr>
      <w:r w:rsidRPr="00554374">
        <w:rPr>
          <w:rFonts w:ascii="Arial" w:eastAsia="Arial" w:hAnsi="Arial" w:cs="Arial"/>
          <w:sz w:val="18"/>
          <w:szCs w:val="18"/>
          <w:lang w:val="sk-SK"/>
        </w:rPr>
        <w:t>Predávajúci sa zaväzuje dodať tovar a poskytnúť kupujúcemu všetky</w:t>
      </w:r>
      <w:r w:rsidRPr="00193B3B">
        <w:rPr>
          <w:rFonts w:ascii="Arial" w:eastAsia="Arial" w:hAnsi="Arial" w:cs="Arial"/>
          <w:sz w:val="18"/>
          <w:szCs w:val="18"/>
          <w:lang w:val="sk-SK"/>
        </w:rPr>
        <w:t xml:space="preserve"> ďalšie plnenia súvisiace s dodaním tovaru podľa tejto Zmluvy</w:t>
      </w:r>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7007C3AE"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w:t>
      </w:r>
      <w:r w:rsidRPr="00D96252">
        <w:rPr>
          <w:rFonts w:ascii="Arial" w:eastAsia="Arial" w:hAnsi="Arial" w:cs="Arial"/>
          <w:sz w:val="18"/>
          <w:szCs w:val="18"/>
          <w:lang w:val="sk-SK"/>
        </w:rPr>
        <w:t xml:space="preserve">na stavenisko v areáli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xml:space="preserve"> /</w:t>
      </w:r>
      <w:r w:rsidRPr="00193B3B">
        <w:rPr>
          <w:rFonts w:ascii="Arial" w:eastAsia="Arial" w:hAnsi="Arial" w:cs="Arial"/>
          <w:sz w:val="18"/>
          <w:szCs w:val="18"/>
          <w:lang w:val="sk-SK"/>
        </w:rPr>
        <w:t xml:space="preserve"> začatia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247FE4" w14:textId="77777777" w:rsidR="0039012F" w:rsidRPr="00193B3B" w:rsidRDefault="0039012F" w:rsidP="00560336">
      <w:pPr>
        <w:ind w:left="360" w:right="1522"/>
        <w:jc w:val="both"/>
        <w:rPr>
          <w:rFonts w:ascii="Arial" w:eastAsia="Arial" w:hAnsi="Arial" w:cs="Arial"/>
          <w:color w:val="000000"/>
          <w:sz w:val="18"/>
          <w:szCs w:val="18"/>
          <w:highlight w:val="magenta"/>
          <w:lang w:val="sk-SK"/>
        </w:rPr>
      </w:pP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lastRenderedPageBreak/>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61104B63"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potreby presného zamerania alebo určenia dopravných trás na dopravenie tovaru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7CEECBB0"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w:t>
      </w:r>
      <w:r w:rsidRPr="00D96252">
        <w:rPr>
          <w:rFonts w:ascii="Arial" w:eastAsia="Arial" w:hAnsi="Arial" w:cs="Arial"/>
          <w:sz w:val="18"/>
          <w:szCs w:val="18"/>
          <w:lang w:val="sk-SK"/>
        </w:rPr>
        <w:t xml:space="preserve">areál </w:t>
      </w:r>
      <w:r w:rsidR="009257E8" w:rsidRPr="00D96252">
        <w:rPr>
          <w:rFonts w:ascii="Arial" w:eastAsia="Arial" w:hAnsi="Arial" w:cs="Arial"/>
          <w:sz w:val="18"/>
          <w:szCs w:val="18"/>
          <w:lang w:val="sk-SK"/>
        </w:rPr>
        <w:t>Kasární</w:t>
      </w:r>
      <w:r w:rsidR="00CF42D3" w:rsidRPr="00D96252">
        <w:rPr>
          <w:rFonts w:ascii="Arial" w:eastAsia="Arial" w:hAnsi="Arial" w:cs="Arial"/>
          <w:sz w:val="18"/>
          <w:szCs w:val="18"/>
          <w:lang w:val="sk-SK"/>
        </w:rPr>
        <w:t xml:space="preserve"> </w:t>
      </w:r>
      <w:r w:rsidR="004D2B5E">
        <w:rPr>
          <w:rFonts w:ascii="Arial" w:eastAsia="Arial" w:hAnsi="Arial" w:cs="Arial"/>
          <w:sz w:val="18"/>
          <w:szCs w:val="18"/>
          <w:lang w:val="sk-SK"/>
        </w:rPr>
        <w:t>(ďalej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D96252" w:rsidRPr="008852EF">
        <w:rPr>
          <w:rFonts w:ascii="Arial" w:eastAsia="Arial" w:hAnsi="Arial" w:cs="Arial"/>
          <w:sz w:val="18"/>
          <w:szCs w:val="18"/>
          <w:lang w:val="sk-SK"/>
        </w:rPr>
        <w:t xml:space="preserve">Bližšie špecifikácie o tom, kde v mieste dodania má byť dodaný tovar inštalovaný / montovaný, určí kupujúci v dokumente Rozpis </w:t>
      </w:r>
      <w:r w:rsidR="008852EF">
        <w:rPr>
          <w:rFonts w:ascii="Arial" w:eastAsia="Arial" w:hAnsi="Arial" w:cs="Arial"/>
          <w:sz w:val="18"/>
          <w:szCs w:val="18"/>
          <w:lang w:val="sk-SK"/>
        </w:rPr>
        <w:t>nábytku</w:t>
      </w:r>
      <w:r w:rsidR="00D96252" w:rsidRPr="008852EF">
        <w:rPr>
          <w:rFonts w:ascii="Arial" w:eastAsia="Arial" w:hAnsi="Arial" w:cs="Arial"/>
          <w:sz w:val="18"/>
          <w:szCs w:val="18"/>
          <w:lang w:val="sk-SK"/>
        </w:rPr>
        <w:t>, ktorý doručí predávajúcemu do 30 (slovo: tridsiatich) kalendárnych dní odo dňa nadobudnutia účinnosti tejto zmluvy.</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471B6905"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w:t>
      </w:r>
      <w:r w:rsidR="00931845" w:rsidRPr="00D96252">
        <w:rPr>
          <w:rFonts w:ascii="Arial" w:eastAsia="Arial" w:hAnsi="Arial" w:cs="Arial"/>
          <w:sz w:val="18"/>
          <w:szCs w:val="18"/>
          <w:lang w:val="sk-SK"/>
        </w:rPr>
        <w:t xml:space="preserve">zmysle Zmluvy o dielo </w:t>
      </w:r>
      <w:r w:rsidRPr="00D96252">
        <w:rPr>
          <w:rFonts w:ascii="Arial" w:eastAsia="Arial" w:hAnsi="Arial" w:cs="Arial"/>
          <w:sz w:val="18"/>
          <w:szCs w:val="18"/>
          <w:lang w:val="sk-SK"/>
        </w:rPr>
        <w:t>po</w:t>
      </w:r>
      <w:r w:rsidRPr="00193B3B">
        <w:rPr>
          <w:rFonts w:ascii="Arial" w:eastAsia="Arial" w:hAnsi="Arial" w:cs="Arial"/>
          <w:sz w:val="18"/>
          <w:szCs w:val="18"/>
          <w:lang w:val="sk-SK"/>
        </w:rPr>
        <w:t xml:space="preserve"> inštalácii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všetkých tovarov (uvedených v Prílohe č. 1) a ich uvedení do prevádzky podpíšu zmluvné strany Dodací protokol, ktorého súčasťou bude aj potvrden</w:t>
      </w:r>
      <w:r w:rsidR="00931845" w:rsidRPr="00193B3B">
        <w:rPr>
          <w:rFonts w:ascii="Arial" w:eastAsia="Arial" w:hAnsi="Arial" w:cs="Arial"/>
          <w:sz w:val="18"/>
          <w:szCs w:val="18"/>
          <w:lang w:val="sk-SK"/>
        </w:rPr>
        <w:t>ie druhu, množstva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 a vykonaní prípadných požadovaných skúšok</w:t>
      </w:r>
      <w:r w:rsidR="00C571BD" w:rsidRPr="00193B3B">
        <w:rPr>
          <w:rFonts w:ascii="Arial" w:eastAsia="Arial" w:hAnsi="Arial" w:cs="Arial"/>
          <w:sz w:val="18"/>
          <w:szCs w:val="18"/>
          <w:lang w:val="sk-SK"/>
        </w:rPr>
        <w:t>.</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1FD2A09A" w14:textId="77777777" w:rsidR="008B7D1C" w:rsidRDefault="008B7D1C" w:rsidP="00BF4407">
      <w:pPr>
        <w:spacing w:before="120" w:after="120"/>
        <w:ind w:left="567"/>
        <w:jc w:val="both"/>
        <w:rPr>
          <w:rFonts w:ascii="Arial" w:eastAsia="Arial" w:hAnsi="Arial" w:cs="Arial"/>
          <w:sz w:val="18"/>
          <w:szCs w:val="18"/>
          <w:lang w:val="sk-SK"/>
        </w:rPr>
      </w:pPr>
    </w:p>
    <w:p w14:paraId="50FD61CB" w14:textId="578837D4"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lastRenderedPageBreak/>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Dodacieho protokolu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5F30CF0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do podpísania Dodacieho protokolu 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protokolu oboma zmluvnými stranami</w:t>
      </w:r>
      <w:r w:rsidR="001F22F4" w:rsidRPr="00193B3B">
        <w:rPr>
          <w:rFonts w:ascii="Arial" w:eastAsia="Arial" w:hAnsi="Arial" w:cs="Arial"/>
          <w:sz w:val="18"/>
          <w:szCs w:val="18"/>
          <w:lang w:val="sk-SK"/>
        </w:rPr>
        <w:t>.</w:t>
      </w:r>
    </w:p>
    <w:p w14:paraId="347CD0A8" w14:textId="680B80F0" w:rsidR="00560336" w:rsidRPr="00193B3B"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lastRenderedPageBreak/>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w:t>
      </w:r>
      <w:r w:rsidR="001F22F4" w:rsidRPr="00193B3B">
        <w:rPr>
          <w:rFonts w:ascii="Arial" w:hAnsi="Arial" w:cs="Arial"/>
          <w:iCs/>
          <w:sz w:val="18"/>
          <w:szCs w:val="18"/>
          <w:lang w:val="sk-SK"/>
        </w:rPr>
        <w:t>okolu oboma zmluvnými stranami.</w:t>
      </w: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r w:rsidR="00920E26" w:rsidRPr="00193B3B">
        <w:rPr>
          <w:rFonts w:ascii="Arial" w:eastAsia="Arial" w:hAnsi="Arial" w:cs="Arial"/>
          <w:sz w:val="18"/>
          <w:szCs w:val="18"/>
          <w:lang w:val="sk-SK"/>
        </w:rPr>
        <w:t>Položková</w:t>
      </w:r>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0CA7C29A"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celý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7777777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Právo na zaplatenie kúpnej ceny vzniká predávajúcemu po podpise Dodacieho protokolu.</w:t>
      </w:r>
    </w:p>
    <w:p w14:paraId="71D0AFD3" w14:textId="79BBDA8E"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uhradí kúpnu cenu na základe riadne vystavených faktúr predávajúcim, ktorých prílohou bude Dodac</w:t>
      </w:r>
      <w:r w:rsidR="001F22F4" w:rsidRPr="00193B3B">
        <w:rPr>
          <w:rFonts w:ascii="Arial" w:eastAsia="Arial" w:hAnsi="Arial" w:cs="Arial"/>
          <w:sz w:val="18"/>
          <w:szCs w:val="18"/>
          <w:lang w:val="sk-SK"/>
        </w:rPr>
        <w:t>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 xml:space="preserve">vrátiť predávajúcemu na opravu alebo doplnenie. </w:t>
      </w:r>
      <w:r w:rsidR="00F26063" w:rsidRPr="00F95D13">
        <w:rPr>
          <w:rFonts w:ascii="Arial" w:eastAsia="Arial" w:hAnsi="Arial" w:cs="Arial"/>
          <w:sz w:val="18"/>
          <w:szCs w:val="18"/>
          <w:lang w:val="sk-SK"/>
        </w:rPr>
        <w:lastRenderedPageBreak/>
        <w:t>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49676259"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Dodací protokol.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w:t>
      </w:r>
      <w:proofErr w:type="spellStart"/>
      <w:r w:rsidRPr="00193B3B">
        <w:rPr>
          <w:rFonts w:ascii="Arial" w:eastAsia="Arial" w:hAnsi="Arial" w:cs="Arial"/>
          <w:sz w:val="18"/>
          <w:szCs w:val="18"/>
          <w:lang w:val="sk-SK"/>
        </w:rPr>
        <w:t>pdf</w:t>
      </w:r>
      <w:proofErr w:type="spellEnd"/>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1BB46846"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A30897">
        <w:rPr>
          <w:rFonts w:ascii="Arial" w:eastAsia="Arial" w:hAnsi="Arial" w:cs="Arial"/>
          <w:b/>
          <w:sz w:val="18"/>
          <w:szCs w:val="18"/>
          <w:lang w:val="sk-SK"/>
        </w:rPr>
        <w:t>24</w:t>
      </w:r>
      <w:r w:rsidR="00A30897" w:rsidRPr="00193B3B">
        <w:rPr>
          <w:rFonts w:ascii="Arial" w:eastAsia="Arial" w:hAnsi="Arial" w:cs="Arial"/>
          <w:b/>
          <w:sz w:val="18"/>
          <w:szCs w:val="18"/>
          <w:lang w:val="sk-SK"/>
        </w:rPr>
        <w:t xml:space="preserve"> </w:t>
      </w:r>
      <w:r w:rsidR="00D87870" w:rsidRPr="00193B3B">
        <w:rPr>
          <w:rFonts w:ascii="Arial" w:eastAsia="Arial" w:hAnsi="Arial" w:cs="Arial"/>
          <w:b/>
          <w:sz w:val="18"/>
          <w:szCs w:val="18"/>
          <w:lang w:val="sk-SK"/>
        </w:rPr>
        <w:t xml:space="preserve">(slovom: </w:t>
      </w:r>
      <w:r w:rsidR="00A30897">
        <w:rPr>
          <w:rFonts w:ascii="Arial" w:eastAsia="Arial" w:hAnsi="Arial" w:cs="Arial"/>
          <w:b/>
          <w:sz w:val="18"/>
          <w:szCs w:val="18"/>
          <w:lang w:val="sk-SK"/>
        </w:rPr>
        <w:t>dvadsaťštyri</w:t>
      </w:r>
      <w:r w:rsidRPr="00193B3B">
        <w:rPr>
          <w:rFonts w:ascii="Arial" w:eastAsia="Arial" w:hAnsi="Arial" w:cs="Arial"/>
          <w:b/>
          <w:sz w:val="18"/>
          <w:szCs w:val="18"/>
          <w:lang w:val="sk-SK"/>
        </w:rPr>
        <w:t>) mesiacov odo dňa podpísania Dodacieho protokolu.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193B3B">
        <w:rPr>
          <w:rFonts w:ascii="Arial" w:eastAsia="Arial" w:hAnsi="Arial" w:cs="Arial"/>
          <w:sz w:val="18"/>
          <w:szCs w:val="18"/>
          <w:lang w:val="sk-SK"/>
        </w:rPr>
        <w:t>predávajúci</w:t>
      </w:r>
      <w:r w:rsidRPr="00193B3B">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ďalších servisných úkonov a činností v súlade s príslušnou právnou úpravou a aplikovateľnými normami;</w:t>
      </w:r>
    </w:p>
    <w:p w14:paraId="4C21430D"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p>
    <w:p w14:paraId="33161FD1"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akýchkoľvek neplánovaných opráv a údržby, ktoré nevyplývajú zo servisného plánu výrobcu tovaru, ak takáto oprava je nevyhnutná za účelom zabezpečenia riadneho bezporuchového užívania tovaru.</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4A8F7579"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15 </w:t>
      </w:r>
      <w:r w:rsidR="008E4424" w:rsidRPr="00193B3B">
        <w:rPr>
          <w:rFonts w:ascii="Arial" w:eastAsia="Arial" w:hAnsi="Arial" w:cs="Arial"/>
          <w:sz w:val="18"/>
          <w:szCs w:val="18"/>
          <w:lang w:val="sk-SK"/>
        </w:rPr>
        <w:t xml:space="preserve">(slovom: pätnástich)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lastRenderedPageBreak/>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77777777"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Konkrétny termín jednotlivých odborných profylaktických prehliadok bude stanovený v Dodacom  protokole 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garantuje kupujúcemu dostupnosť všetkých náhradných dielov k tovaru počas celej záručnej doby vzťahujúcej sa na tovar.</w:t>
      </w:r>
    </w:p>
    <w:p w14:paraId="1A68E99E" w14:textId="2F187B02"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A35852" w:rsidRPr="00193B3B">
        <w:rPr>
          <w:rFonts w:ascii="Arial" w:eastAsia="Arial" w:hAnsi="Arial" w:cs="Arial"/>
          <w:sz w:val="18"/>
          <w:szCs w:val="18"/>
          <w:lang w:val="sk-SK"/>
        </w:rPr>
        <w:t>Dodacieho</w:t>
      </w:r>
      <w:r w:rsidRPr="00193B3B">
        <w:rPr>
          <w:rFonts w:ascii="Arial" w:eastAsia="Arial" w:hAnsi="Arial" w:cs="Arial"/>
          <w:sz w:val="18"/>
          <w:szCs w:val="18"/>
          <w:lang w:val="sk-SK"/>
        </w:rPr>
        <w:t xml:space="preserve"> protokolu 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55D9198B"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00223072">
        <w:rPr>
          <w:rFonts w:ascii="Arial" w:eastAsia="Arial" w:hAnsi="Arial" w:cs="Arial"/>
          <w:sz w:val="18"/>
          <w:szCs w:val="18"/>
          <w:lang w:val="sk-SK"/>
        </w:rPr>
        <w:t xml:space="preserve"> tejto zmluvy (24</w:t>
      </w:r>
      <w:r w:rsidRPr="00193B3B">
        <w:rPr>
          <w:rFonts w:ascii="Arial" w:eastAsia="Arial" w:hAnsi="Arial" w:cs="Arial"/>
          <w:sz w:val="18"/>
          <w:szCs w:val="18"/>
          <w:lang w:val="sk-SK"/>
        </w:rPr>
        <w:t xml:space="preserve"> 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7E33ECEE"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záručnej doby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12B478E1"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49C9DB0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Dodacieho protokolu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w:t>
      </w:r>
      <w:r w:rsidRPr="00193B3B">
        <w:rPr>
          <w:rFonts w:ascii="Arial" w:eastAsia="Arial" w:hAnsi="Arial" w:cs="Arial"/>
          <w:color w:val="000000"/>
          <w:sz w:val="18"/>
          <w:szCs w:val="18"/>
          <w:lang w:val="sk-SK"/>
        </w:rPr>
        <w:lastRenderedPageBreak/>
        <w:t>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7C66149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xml:space="preserve">.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56528AA7"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4120C8F7"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kupujúci má právo </w:t>
      </w:r>
      <w:r w:rsidR="00894031" w:rsidRPr="00193B3B">
        <w:rPr>
          <w:rFonts w:ascii="Arial" w:eastAsia="Arial" w:hAnsi="Arial" w:cs="Arial"/>
          <w:sz w:val="18"/>
          <w:szCs w:val="18"/>
          <w:lang w:val="sk-SK"/>
        </w:rPr>
        <w:t>odstúpiť</w:t>
      </w:r>
      <w:r w:rsidRPr="00193B3B">
        <w:rPr>
          <w:rFonts w:ascii="Arial" w:eastAsia="Arial" w:hAnsi="Arial" w:cs="Arial"/>
          <w:sz w:val="18"/>
          <w:szCs w:val="18"/>
          <w:lang w:val="sk-SK"/>
        </w:rPr>
        <w:t xml:space="preserve"> od tej časti plnenia podľa tejto zm</w:t>
      </w:r>
      <w:r w:rsidR="001F22F4" w:rsidRPr="00193B3B">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0BDD4919"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55F53B3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lastRenderedPageBreak/>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lastRenderedPageBreak/>
        <w:t>Zmluvné strany označujú za podstatné porušenie zmluvy najmä porušenie nasledujúcich zmluvných povinností:</w:t>
      </w:r>
    </w:p>
    <w:p w14:paraId="420DF444" w14:textId="4DACC769"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nedodanie tovaru predávajúcim v zmysle dohodnutých podmienok riadne a včas a v kvalite podľa dohodnutých podmienok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w:t>
      </w:r>
      <w:r w:rsidRPr="00362528">
        <w:rPr>
          <w:rFonts w:ascii="Arial" w:eastAsia="Arial" w:hAnsi="Arial" w:cs="Arial"/>
          <w:sz w:val="18"/>
          <w:szCs w:val="18"/>
          <w:lang w:val="sk-SK"/>
        </w:rPr>
        <w:lastRenderedPageBreak/>
        <w:t>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5373B56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 xml:space="preserve">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6C7C992F"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7DAA4787"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3B2C0303"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008B7D1C">
        <w:rPr>
          <w:rFonts w:ascii="Arial" w:eastAsia="Arial" w:hAnsi="Arial" w:cs="Arial"/>
          <w:sz w:val="18"/>
          <w:szCs w:val="18"/>
          <w:lang w:val="sk-SK"/>
        </w:rPr>
        <w:t xml:space="preserve">najmä </w:t>
      </w:r>
      <w:r w:rsidRPr="00D40A64">
        <w:rPr>
          <w:rFonts w:ascii="Arial" w:eastAsia="Arial" w:hAnsi="Arial" w:cs="Arial"/>
          <w:sz w:val="18"/>
          <w:szCs w:val="18"/>
          <w:lang w:val="sk-SK"/>
        </w:rPr>
        <w:t>príslušnými ustanoveniami</w:t>
      </w:r>
      <w:r w:rsidR="008B7D1C">
        <w:rPr>
          <w:rFonts w:ascii="Arial" w:eastAsia="Arial" w:hAnsi="Arial" w:cs="Arial"/>
          <w:sz w:val="18"/>
          <w:szCs w:val="18"/>
          <w:lang w:val="sk-SK"/>
        </w:rPr>
        <w:t xml:space="preserve"> </w:t>
      </w:r>
      <w:r w:rsidR="00AC24B2" w:rsidRPr="00D40A64">
        <w:rPr>
          <w:rFonts w:ascii="Arial" w:eastAsia="Arial" w:hAnsi="Arial" w:cs="Arial"/>
          <w:sz w:val="18"/>
          <w:szCs w:val="18"/>
          <w:lang w:val="sk-SK"/>
        </w:rPr>
        <w:t>Obchodného zákonníka</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V prípade, že bude niektoré z jednotlivých ustanovení tejto zmluvy považované za neplatné, nevymáhateľné či neúčinné, nebude mať táto skutočnosť vplyv na platnosť, vymáhateľnosť či účinnosť zostávajúcich 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lastRenderedPageBreak/>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r w:rsidR="00D63EF3" w:rsidRPr="00D40A64">
        <w:rPr>
          <w:rFonts w:ascii="Arial" w:eastAsia="Arial" w:hAnsi="Arial" w:cs="Arial"/>
          <w:sz w:val="18"/>
          <w:szCs w:val="18"/>
          <w:lang w:val="sk-SK"/>
        </w:rPr>
        <w:t>Položková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Marek </w:t>
            </w:r>
            <w:proofErr w:type="spellStart"/>
            <w:r w:rsidR="00560336" w:rsidRPr="00193B3B">
              <w:rPr>
                <w:rFonts w:ascii="Arial" w:eastAsia="Arial" w:hAnsi="Arial" w:cs="Arial"/>
                <w:sz w:val="18"/>
                <w:szCs w:val="18"/>
                <w:lang w:val="sk-SK"/>
              </w:rPr>
              <w:t>Hattas</w:t>
            </w:r>
            <w:proofErr w:type="spellEnd"/>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A30FC3">
      <w:headerReference w:type="default" r:id="rId8"/>
      <w:footerReference w:type="default" r:id="rId9"/>
      <w:pgSz w:w="11906" w:h="16838"/>
      <w:pgMar w:top="1218" w:right="1417" w:bottom="1417" w:left="1417" w:header="2047" w:footer="2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4A0F7" w14:textId="77777777" w:rsidR="000665E8" w:rsidRDefault="000665E8" w:rsidP="00DB4858">
      <w:r>
        <w:separator/>
      </w:r>
    </w:p>
  </w:endnote>
  <w:endnote w:type="continuationSeparator" w:id="0">
    <w:p w14:paraId="7E2B511A" w14:textId="77777777" w:rsidR="000665E8" w:rsidRDefault="000665E8"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7BBBCCB7"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150" name="Obrázo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F01A6" w:rsidRPr="00FF01A6">
          <w:rPr>
            <w:noProof/>
            <w:lang w:val="sk-SK"/>
          </w:rPr>
          <w:t>10</w:t>
        </w:r>
        <w:r>
          <w:fldChar w:fldCharType="end"/>
        </w:r>
        <w:r>
          <w:t>/</w:t>
        </w:r>
        <w:fldSimple w:instr=" NUMPAGES   \* MERGEFORMAT ">
          <w:r w:rsidR="00FF01A6">
            <w:rPr>
              <w:noProof/>
            </w:rPr>
            <w:t>15</w:t>
          </w:r>
        </w:fldSimple>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62EE" w14:textId="77777777" w:rsidR="000665E8" w:rsidRDefault="000665E8" w:rsidP="00DB4858">
      <w:r>
        <w:separator/>
      </w:r>
    </w:p>
  </w:footnote>
  <w:footnote w:type="continuationSeparator" w:id="0">
    <w:p w14:paraId="542EA955" w14:textId="77777777" w:rsidR="000665E8" w:rsidRDefault="000665E8"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1783D8D0"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49"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r w:rsidR="009E4684">
      <w:t xml:space="preserve">Príloha č. 2 Súťažných podkaldov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14C96"/>
    <w:rsid w:val="00023FD5"/>
    <w:rsid w:val="00055D9C"/>
    <w:rsid w:val="000562A0"/>
    <w:rsid w:val="000665E8"/>
    <w:rsid w:val="0007075B"/>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E2B23"/>
    <w:rsid w:val="000F73F7"/>
    <w:rsid w:val="00101A71"/>
    <w:rsid w:val="00105B17"/>
    <w:rsid w:val="001109B1"/>
    <w:rsid w:val="0011256E"/>
    <w:rsid w:val="00112FD9"/>
    <w:rsid w:val="00121111"/>
    <w:rsid w:val="001310B1"/>
    <w:rsid w:val="00142FCF"/>
    <w:rsid w:val="00146C91"/>
    <w:rsid w:val="00153C00"/>
    <w:rsid w:val="00163CB5"/>
    <w:rsid w:val="00185AD4"/>
    <w:rsid w:val="00191D3C"/>
    <w:rsid w:val="00193B3B"/>
    <w:rsid w:val="001A419C"/>
    <w:rsid w:val="001C6DB9"/>
    <w:rsid w:val="001D1056"/>
    <w:rsid w:val="001E0FAA"/>
    <w:rsid w:val="001E2928"/>
    <w:rsid w:val="001E552E"/>
    <w:rsid w:val="001F22F4"/>
    <w:rsid w:val="00210936"/>
    <w:rsid w:val="0021304E"/>
    <w:rsid w:val="00214569"/>
    <w:rsid w:val="00223072"/>
    <w:rsid w:val="00235D77"/>
    <w:rsid w:val="00246371"/>
    <w:rsid w:val="00254807"/>
    <w:rsid w:val="002673C2"/>
    <w:rsid w:val="002704F0"/>
    <w:rsid w:val="00272FBA"/>
    <w:rsid w:val="00286F7A"/>
    <w:rsid w:val="002A11DF"/>
    <w:rsid w:val="002C354B"/>
    <w:rsid w:val="002D1478"/>
    <w:rsid w:val="002D22DB"/>
    <w:rsid w:val="002D2648"/>
    <w:rsid w:val="002D7B23"/>
    <w:rsid w:val="002E1916"/>
    <w:rsid w:val="002E7B76"/>
    <w:rsid w:val="002F0DA8"/>
    <w:rsid w:val="002F4522"/>
    <w:rsid w:val="00311DBC"/>
    <w:rsid w:val="0033421F"/>
    <w:rsid w:val="0033431E"/>
    <w:rsid w:val="00341B93"/>
    <w:rsid w:val="00362528"/>
    <w:rsid w:val="00363918"/>
    <w:rsid w:val="00384B37"/>
    <w:rsid w:val="0039012F"/>
    <w:rsid w:val="00395F20"/>
    <w:rsid w:val="003A6A21"/>
    <w:rsid w:val="003B1F1D"/>
    <w:rsid w:val="003B2412"/>
    <w:rsid w:val="003D5E23"/>
    <w:rsid w:val="003E2298"/>
    <w:rsid w:val="003E483C"/>
    <w:rsid w:val="003F1017"/>
    <w:rsid w:val="003F2BCC"/>
    <w:rsid w:val="003F775B"/>
    <w:rsid w:val="00400C8F"/>
    <w:rsid w:val="00401202"/>
    <w:rsid w:val="004055F3"/>
    <w:rsid w:val="00412527"/>
    <w:rsid w:val="00423BD8"/>
    <w:rsid w:val="00425C32"/>
    <w:rsid w:val="00440F71"/>
    <w:rsid w:val="0044112D"/>
    <w:rsid w:val="00450A04"/>
    <w:rsid w:val="004641F8"/>
    <w:rsid w:val="004643DB"/>
    <w:rsid w:val="00464D79"/>
    <w:rsid w:val="00466F3C"/>
    <w:rsid w:val="00496864"/>
    <w:rsid w:val="004B36E5"/>
    <w:rsid w:val="004B4D6D"/>
    <w:rsid w:val="004C7D27"/>
    <w:rsid w:val="004D2B5E"/>
    <w:rsid w:val="004D5B92"/>
    <w:rsid w:val="004D7D77"/>
    <w:rsid w:val="004E29A1"/>
    <w:rsid w:val="004E6B87"/>
    <w:rsid w:val="004E75A3"/>
    <w:rsid w:val="004F2427"/>
    <w:rsid w:val="004F3E8C"/>
    <w:rsid w:val="004F41D9"/>
    <w:rsid w:val="00501A92"/>
    <w:rsid w:val="00502F11"/>
    <w:rsid w:val="00512927"/>
    <w:rsid w:val="00512AF0"/>
    <w:rsid w:val="0051381B"/>
    <w:rsid w:val="005357DC"/>
    <w:rsid w:val="00543B64"/>
    <w:rsid w:val="0055007B"/>
    <w:rsid w:val="00554374"/>
    <w:rsid w:val="0055777F"/>
    <w:rsid w:val="00560336"/>
    <w:rsid w:val="0058206E"/>
    <w:rsid w:val="00583D9C"/>
    <w:rsid w:val="00591BAC"/>
    <w:rsid w:val="00595BBF"/>
    <w:rsid w:val="0059614D"/>
    <w:rsid w:val="005D10F9"/>
    <w:rsid w:val="005D2BB3"/>
    <w:rsid w:val="005D7906"/>
    <w:rsid w:val="005E1F0A"/>
    <w:rsid w:val="005F2230"/>
    <w:rsid w:val="005F6CB7"/>
    <w:rsid w:val="0060504D"/>
    <w:rsid w:val="00607363"/>
    <w:rsid w:val="0061111A"/>
    <w:rsid w:val="006119DD"/>
    <w:rsid w:val="006139A4"/>
    <w:rsid w:val="00620BE9"/>
    <w:rsid w:val="00620CA1"/>
    <w:rsid w:val="00630BE6"/>
    <w:rsid w:val="006320B8"/>
    <w:rsid w:val="006341FA"/>
    <w:rsid w:val="00645156"/>
    <w:rsid w:val="00661E48"/>
    <w:rsid w:val="00666B77"/>
    <w:rsid w:val="00671174"/>
    <w:rsid w:val="00671776"/>
    <w:rsid w:val="006A00C6"/>
    <w:rsid w:val="006C2DE0"/>
    <w:rsid w:val="006D0AA4"/>
    <w:rsid w:val="006F240E"/>
    <w:rsid w:val="00704532"/>
    <w:rsid w:val="0072027E"/>
    <w:rsid w:val="0072256B"/>
    <w:rsid w:val="007241C2"/>
    <w:rsid w:val="00745B85"/>
    <w:rsid w:val="00755316"/>
    <w:rsid w:val="00756CCD"/>
    <w:rsid w:val="00767D35"/>
    <w:rsid w:val="007728DF"/>
    <w:rsid w:val="0077792C"/>
    <w:rsid w:val="007947A0"/>
    <w:rsid w:val="007C70D4"/>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2D0C"/>
    <w:rsid w:val="0088364C"/>
    <w:rsid w:val="008852EF"/>
    <w:rsid w:val="008935EB"/>
    <w:rsid w:val="00894031"/>
    <w:rsid w:val="00894AA6"/>
    <w:rsid w:val="008A5CF2"/>
    <w:rsid w:val="008B7D1C"/>
    <w:rsid w:val="008C02E2"/>
    <w:rsid w:val="008E4424"/>
    <w:rsid w:val="008F1B21"/>
    <w:rsid w:val="00902665"/>
    <w:rsid w:val="009119C1"/>
    <w:rsid w:val="00920D67"/>
    <w:rsid w:val="00920E26"/>
    <w:rsid w:val="009257E8"/>
    <w:rsid w:val="00931845"/>
    <w:rsid w:val="009343BD"/>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9E4684"/>
    <w:rsid w:val="00A02501"/>
    <w:rsid w:val="00A30897"/>
    <w:rsid w:val="00A30FC3"/>
    <w:rsid w:val="00A32C45"/>
    <w:rsid w:val="00A35852"/>
    <w:rsid w:val="00A37091"/>
    <w:rsid w:val="00A37405"/>
    <w:rsid w:val="00A50225"/>
    <w:rsid w:val="00A7027C"/>
    <w:rsid w:val="00A73531"/>
    <w:rsid w:val="00A73E1C"/>
    <w:rsid w:val="00A74604"/>
    <w:rsid w:val="00A81C0C"/>
    <w:rsid w:val="00A92135"/>
    <w:rsid w:val="00AB1F68"/>
    <w:rsid w:val="00AC24B2"/>
    <w:rsid w:val="00AD1B2C"/>
    <w:rsid w:val="00AD5455"/>
    <w:rsid w:val="00AF1C63"/>
    <w:rsid w:val="00AF5AA8"/>
    <w:rsid w:val="00B023A0"/>
    <w:rsid w:val="00B36252"/>
    <w:rsid w:val="00B44E95"/>
    <w:rsid w:val="00B50637"/>
    <w:rsid w:val="00B520C1"/>
    <w:rsid w:val="00B56782"/>
    <w:rsid w:val="00B60C31"/>
    <w:rsid w:val="00B73C40"/>
    <w:rsid w:val="00B760CE"/>
    <w:rsid w:val="00B76D09"/>
    <w:rsid w:val="00B91EC2"/>
    <w:rsid w:val="00BA3A4B"/>
    <w:rsid w:val="00BB106C"/>
    <w:rsid w:val="00BB6613"/>
    <w:rsid w:val="00BC5DA8"/>
    <w:rsid w:val="00BC774A"/>
    <w:rsid w:val="00BD28EC"/>
    <w:rsid w:val="00BE775F"/>
    <w:rsid w:val="00BF2B02"/>
    <w:rsid w:val="00BF3831"/>
    <w:rsid w:val="00BF4407"/>
    <w:rsid w:val="00C11C78"/>
    <w:rsid w:val="00C17CF3"/>
    <w:rsid w:val="00C27914"/>
    <w:rsid w:val="00C30081"/>
    <w:rsid w:val="00C44AE3"/>
    <w:rsid w:val="00C54271"/>
    <w:rsid w:val="00C571BD"/>
    <w:rsid w:val="00C6205B"/>
    <w:rsid w:val="00C722BD"/>
    <w:rsid w:val="00CA04D2"/>
    <w:rsid w:val="00CA3512"/>
    <w:rsid w:val="00CA47B3"/>
    <w:rsid w:val="00CA782C"/>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63EF3"/>
    <w:rsid w:val="00D64450"/>
    <w:rsid w:val="00D64BE3"/>
    <w:rsid w:val="00D651EA"/>
    <w:rsid w:val="00D81342"/>
    <w:rsid w:val="00D83E72"/>
    <w:rsid w:val="00D87870"/>
    <w:rsid w:val="00D92CD9"/>
    <w:rsid w:val="00D96252"/>
    <w:rsid w:val="00DA568D"/>
    <w:rsid w:val="00DB4858"/>
    <w:rsid w:val="00DD022E"/>
    <w:rsid w:val="00DE15FD"/>
    <w:rsid w:val="00DF1A74"/>
    <w:rsid w:val="00DF373B"/>
    <w:rsid w:val="00E139EC"/>
    <w:rsid w:val="00E252D0"/>
    <w:rsid w:val="00E2655B"/>
    <w:rsid w:val="00E30623"/>
    <w:rsid w:val="00E378C7"/>
    <w:rsid w:val="00E412B0"/>
    <w:rsid w:val="00E441EE"/>
    <w:rsid w:val="00E55EF4"/>
    <w:rsid w:val="00E56FB2"/>
    <w:rsid w:val="00E5756F"/>
    <w:rsid w:val="00E600CC"/>
    <w:rsid w:val="00E629A0"/>
    <w:rsid w:val="00E7456F"/>
    <w:rsid w:val="00E91257"/>
    <w:rsid w:val="00EA3E20"/>
    <w:rsid w:val="00EA60C0"/>
    <w:rsid w:val="00EC24C1"/>
    <w:rsid w:val="00EE56FD"/>
    <w:rsid w:val="00EF29C3"/>
    <w:rsid w:val="00EF6347"/>
    <w:rsid w:val="00F00192"/>
    <w:rsid w:val="00F04CB7"/>
    <w:rsid w:val="00F0541A"/>
    <w:rsid w:val="00F10127"/>
    <w:rsid w:val="00F15FDF"/>
    <w:rsid w:val="00F23E16"/>
    <w:rsid w:val="00F24E7F"/>
    <w:rsid w:val="00F26063"/>
    <w:rsid w:val="00F52135"/>
    <w:rsid w:val="00F805B6"/>
    <w:rsid w:val="00F86704"/>
    <w:rsid w:val="00F90966"/>
    <w:rsid w:val="00F95D13"/>
    <w:rsid w:val="00FB38BE"/>
    <w:rsid w:val="00FC622A"/>
    <w:rsid w:val="00FD42F8"/>
    <w:rsid w:val="00FE1F96"/>
    <w:rsid w:val="00FF01A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CB9E-51D9-4EB2-BA98-8827615E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7</TotalTime>
  <Pages>15</Pages>
  <Words>8388</Words>
  <Characters>47815</Characters>
  <Application>Microsoft Office Word</Application>
  <DocSecurity>0</DocSecurity>
  <Lines>398</Lines>
  <Paragraphs>112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8</cp:revision>
  <dcterms:created xsi:type="dcterms:W3CDTF">2023-06-12T13:42:00Z</dcterms:created>
  <dcterms:modified xsi:type="dcterms:W3CDTF">2023-06-20T07:36:00Z</dcterms:modified>
</cp:coreProperties>
</file>