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27264818" w:rsidR="00140FA5" w:rsidRDefault="00140FA5" w:rsidP="00BF623F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 xml:space="preserve">Predmet zákazky: </w:t>
      </w:r>
      <w:bookmarkStart w:id="0" w:name="_Hlk13561726"/>
      <w:r w:rsidR="00D27A45" w:rsidRPr="00D27A45">
        <w:rPr>
          <w:rFonts w:ascii="Cambria" w:hAnsi="Cambria"/>
          <w:b/>
          <w:bCs/>
          <w:sz w:val="20"/>
          <w:szCs w:val="20"/>
        </w:rPr>
        <w:t xml:space="preserve">Zvýšenie efektívnosti energetického hospodárstva a rekonštrukcia vybraných budov vo vlastníctve Hlavného mesta Slovenskej republiky Bratislava </w:t>
      </w:r>
      <w:bookmarkEnd w:id="0"/>
      <w:r w:rsidR="00D27A45" w:rsidRPr="00D27A45">
        <w:rPr>
          <w:rFonts w:ascii="Cambria" w:hAnsi="Cambria"/>
          <w:b/>
          <w:bCs/>
          <w:sz w:val="20"/>
          <w:szCs w:val="20"/>
        </w:rPr>
        <w:t>– súbor 1</w:t>
      </w:r>
      <w:bookmarkStart w:id="1" w:name="_GoBack"/>
      <w:bookmarkEnd w:id="1"/>
    </w:p>
    <w:p w14:paraId="0E9D3875" w14:textId="77777777" w:rsidR="00BF623F" w:rsidRPr="00105C8E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nie</w:t>
            </w:r>
          </w:p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koeficient ekonomickej výhodnosti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6D6132" w:rsidRPr="00105C8E" w14:paraId="3366282B" w14:textId="77777777" w:rsidTr="007B060B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3EFAB7B3" w14:textId="12D2F020" w:rsidR="006D6132" w:rsidRPr="00105C8E" w:rsidRDefault="006D6132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energetickej efektívnosti pre verejný sektor</w:t>
            </w:r>
          </w:p>
        </w:tc>
      </w:tr>
      <w:tr w:rsidR="00B65B38" w:rsidRPr="00105C8E" w14:paraId="721BBEBA" w14:textId="77777777" w:rsidTr="006D6132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1EF7AA36" w14:textId="77777777" w:rsidR="00B65B38" w:rsidRPr="00105C8E" w:rsidRDefault="00B65B38" w:rsidP="00C53CF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E499989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0893CDED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294FB692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3F6960" w:rsidRPr="00105C8E" w14:paraId="0EE713C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4F45D26D" w14:textId="77777777" w:rsidR="003F6960" w:rsidRPr="00105C8E" w:rsidRDefault="003F6960" w:rsidP="003F69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6</w:t>
            </w:r>
          </w:p>
        </w:tc>
        <w:tc>
          <w:tcPr>
            <w:tcW w:w="2930" w:type="dxa"/>
            <w:vAlign w:val="center"/>
          </w:tcPr>
          <w:p w14:paraId="44A69084" w14:textId="2E34B55C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A = Hodnotené Celkové ročné úspory</w:t>
            </w:r>
          </w:p>
          <w:p w14:paraId="4502E787" w14:textId="36737007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celkových ročných úspor energetických nákladov vrátane DPH všetkých budov v zmysle formuláru B.2 súťažných podkladov)</w:t>
            </w:r>
          </w:p>
        </w:tc>
        <w:tc>
          <w:tcPr>
            <w:tcW w:w="1140" w:type="dxa"/>
            <w:vAlign w:val="center"/>
          </w:tcPr>
          <w:p w14:paraId="1B78FC23" w14:textId="77777777" w:rsidR="003F6960" w:rsidRPr="00105C8E" w:rsidRDefault="003F6960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  <w:highlight w:val="yellow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0B6D993E" w14:textId="21FA5475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069CA0CA" w14:textId="1F5125E3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41D120E0" w14:textId="333B104A" w:rsidR="003F6960" w:rsidRPr="00105C8E" w:rsidRDefault="003F6960" w:rsidP="003F6960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Odkaznapoznmkupodiarou"/>
                <w:rFonts w:ascii="Cambria" w:hAnsi="Cambria" w:cs="Arial"/>
                <w:bCs/>
                <w:szCs w:val="20"/>
              </w:rPr>
              <w:footnoteReference w:id="1"/>
            </w:r>
          </w:p>
        </w:tc>
      </w:tr>
      <w:tr w:rsidR="003F6960" w:rsidRPr="00105C8E" w14:paraId="0EAFE67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42B9D78" w14:textId="77777777" w:rsidR="003F6960" w:rsidRPr="00105C8E" w:rsidRDefault="003F6960" w:rsidP="003F69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C47468E" w14:textId="34CAC0F8" w:rsidR="003F6960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Celkové garantované úspory počas celej doby trvania zmluvy vrátane DPH</w:t>
            </w:r>
          </w:p>
          <w:p w14:paraId="2844EC39" w14:textId="5419CB8E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(vypočítané ako súčin celkových ročných úspor – hodnota (A) x počet dokov trvania Obdobia garancie (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  <w:r>
              <w:rPr>
                <w:rFonts w:ascii="Cambria" w:hAnsi="Cambria" w:cs="Arial"/>
                <w:b/>
                <w:szCs w:val="20"/>
              </w:rPr>
              <w:t xml:space="preserve"> rokov) = A x 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</w:p>
        </w:tc>
        <w:tc>
          <w:tcPr>
            <w:tcW w:w="1140" w:type="dxa"/>
            <w:vAlign w:val="center"/>
          </w:tcPr>
          <w:p w14:paraId="77270232" w14:textId="32667473" w:rsidR="003F6960" w:rsidRPr="00105C8E" w:rsidRDefault="00D531F3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E8C40E9" w14:textId="07273AC7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55A2F127" w14:textId="07069872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670A3C15" w14:textId="5F44CBF0" w:rsidR="003F6960" w:rsidRPr="00105C8E" w:rsidRDefault="003F6960" w:rsidP="003F6960">
            <w:pPr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Odkaznapoznmkupodiarou"/>
                <w:rFonts w:ascii="Cambria" w:hAnsi="Cambria" w:cs="Arial"/>
                <w:bCs/>
                <w:szCs w:val="20"/>
              </w:rPr>
              <w:footnoteReference w:id="2"/>
            </w:r>
          </w:p>
        </w:tc>
      </w:tr>
      <w:tr w:rsidR="00B65B38" w:rsidRPr="00105C8E" w14:paraId="251B7D0B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1EDBFE9" w14:textId="77777777" w:rsidR="00B65B38" w:rsidRPr="00105C8E" w:rsidRDefault="00B65B38" w:rsidP="00D169C6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21C0C0F9" w14:textId="1252535A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 xml:space="preserve">B1 = </w:t>
            </w:r>
            <w:r w:rsidR="002D406C"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Obnovu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p w14:paraId="28E81D98" w14:textId="464D624B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6BC422C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5E777FA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29698655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50534218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  <w:tr w:rsidR="00B65B38" w:rsidRPr="00105C8E" w14:paraId="55F641DF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69BB7E15" w14:textId="77777777" w:rsidR="00B65B38" w:rsidRPr="00105C8E" w:rsidRDefault="00B65B38" w:rsidP="00D169C6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10</w:t>
            </w:r>
          </w:p>
        </w:tc>
        <w:tc>
          <w:tcPr>
            <w:tcW w:w="2930" w:type="dxa"/>
          </w:tcPr>
          <w:p w14:paraId="789685F7" w14:textId="599AD8D7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>B</w:t>
            </w:r>
            <w:r w:rsidR="003C48F0" w:rsidRPr="00105C8E">
              <w:rPr>
                <w:rFonts w:ascii="Cambria" w:hAnsi="Cambria" w:cs="Arial"/>
                <w:b/>
                <w:color w:val="auto"/>
              </w:rPr>
              <w:t>2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= C</w:t>
            </w:r>
            <w:r w:rsidR="002D406C">
              <w:rPr>
                <w:rFonts w:ascii="Cambria" w:hAnsi="Cambria" w:cs="Arial"/>
                <w:b/>
                <w:color w:val="auto"/>
              </w:rPr>
              <w:t>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súvisiace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S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lužby </w:t>
            </w:r>
          </w:p>
          <w:p w14:paraId="58E0CE75" w14:textId="7AB7CF3E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poskytovanie služieb všetkých budov v zmysle formuláru B.2 súťažných podkladov)</w:t>
            </w:r>
          </w:p>
        </w:tc>
        <w:tc>
          <w:tcPr>
            <w:tcW w:w="1140" w:type="dxa"/>
          </w:tcPr>
          <w:p w14:paraId="435D4EBF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6DA2D2F8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1A846F47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65ADC1F2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5829BE7" w14:textId="77777777" w:rsidR="00140FA5" w:rsidRPr="00105C8E" w:rsidRDefault="00140FA5" w:rsidP="00C53CFB">
      <w:pPr>
        <w:spacing w:line="264" w:lineRule="auto"/>
        <w:rPr>
          <w:rFonts w:ascii="Cambria" w:hAnsi="Cambria" w:cs="Arial"/>
          <w:bCs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2D406C" w:rsidRPr="00105C8E" w14:paraId="270A480C" w14:textId="77777777" w:rsidTr="00E8235A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7762DECD" w14:textId="692DBD3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</w:t>
            </w:r>
            <w:r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Dielo</w:t>
            </w:r>
          </w:p>
        </w:tc>
      </w:tr>
      <w:tr w:rsidR="002D406C" w:rsidRPr="00105C8E" w14:paraId="041090CB" w14:textId="77777777" w:rsidTr="00E8235A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07ACBA6" w14:textId="77777777" w:rsidR="002D406C" w:rsidRPr="00105C8E" w:rsidRDefault="002D406C" w:rsidP="00E8235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1E39099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622F09A2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419173B4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2D406C" w:rsidRPr="00105C8E" w14:paraId="54DACBC2" w14:textId="77777777" w:rsidTr="00E8235A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DAD71A0" w14:textId="77777777" w:rsidR="002D406C" w:rsidRPr="00105C8E" w:rsidRDefault="002D406C" w:rsidP="002D406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41ECCF35" w14:textId="6CA2E0DD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bookmarkStart w:id="2" w:name="_Hlk12194928"/>
            <w:r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E018F">
              <w:rPr>
                <w:rFonts w:ascii="Cambria" w:hAnsi="Cambria" w:cs="Arial"/>
                <w:b/>
                <w:color w:val="auto"/>
              </w:rPr>
              <w:t>opatrenia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bookmarkEnd w:id="2"/>
          <w:p w14:paraId="34D5F40E" w14:textId="77777777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0F0081B9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17D585F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60B3F6E6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7313ACD8" w14:textId="77777777" w:rsidR="002D406C" w:rsidRPr="00105C8E" w:rsidRDefault="002D406C" w:rsidP="00E8235A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3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3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59949" w14:textId="77777777" w:rsidR="00386488" w:rsidRDefault="00386488" w:rsidP="006F6013">
      <w:r>
        <w:separator/>
      </w:r>
    </w:p>
  </w:endnote>
  <w:endnote w:type="continuationSeparator" w:id="0">
    <w:p w14:paraId="22D32AAE" w14:textId="77777777" w:rsidR="00386488" w:rsidRDefault="00386488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1D55" w14:textId="77777777" w:rsidR="00386488" w:rsidRDefault="00386488" w:rsidP="006F6013">
      <w:r>
        <w:separator/>
      </w:r>
    </w:p>
  </w:footnote>
  <w:footnote w:type="continuationSeparator" w:id="0">
    <w:p w14:paraId="3CE3BB1E" w14:textId="77777777" w:rsidR="00386488" w:rsidRDefault="00386488" w:rsidP="006F6013">
      <w:r>
        <w:continuationSeparator/>
      </w:r>
    </w:p>
  </w:footnote>
  <w:footnote w:id="1">
    <w:p w14:paraId="7BECC7C3" w14:textId="389C9625" w:rsidR="003F6960" w:rsidRDefault="003F696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B05CE">
        <w:t xml:space="preserve">Celkové ročné úspory </w:t>
      </w:r>
      <w:r w:rsidR="00216C29">
        <w:t xml:space="preserve">energetických nákladov </w:t>
      </w:r>
      <w:r w:rsidR="00FF15DF">
        <w:rPr>
          <w:szCs w:val="22"/>
        </w:rPr>
        <w:t xml:space="preserve">- </w:t>
      </w:r>
      <w:r w:rsidR="00216C29">
        <w:rPr>
          <w:szCs w:val="22"/>
        </w:rPr>
        <w:t>elektrina, zemný plyn, teplo a studená voda</w:t>
      </w:r>
      <w:r w:rsidR="00FF15DF">
        <w:rPr>
          <w:szCs w:val="22"/>
        </w:rPr>
        <w:t xml:space="preserve"> -</w:t>
      </w:r>
      <w:r w:rsidR="00216C29" w:rsidRPr="00FB05CE">
        <w:t xml:space="preserve"> </w:t>
      </w:r>
      <w:r w:rsidRPr="00FB05CE">
        <w:t xml:space="preserve">(hodnota A) musia dosiahnuť minimálne hodnotu </w:t>
      </w:r>
      <w:r w:rsidR="007B44A2" w:rsidRPr="00FF15DF">
        <w:rPr>
          <w:b/>
          <w:bCs/>
        </w:rPr>
        <w:t>59.000</w:t>
      </w:r>
      <w:r w:rsidRPr="00FF15DF">
        <w:rPr>
          <w:b/>
          <w:bCs/>
        </w:rPr>
        <w:t xml:space="preserve"> EUR vrátane DPH</w:t>
      </w:r>
      <w:r w:rsidRPr="00FB05CE">
        <w:t>.</w:t>
      </w:r>
    </w:p>
  </w:footnote>
  <w:footnote w:id="2">
    <w:p w14:paraId="3056A5F3" w14:textId="27100AE7" w:rsidR="003F6960" w:rsidRDefault="003F6960" w:rsidP="00FB05C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B05CE">
        <w:t xml:space="preserve">Celkové garantované úspory </w:t>
      </w:r>
      <w:r w:rsidR="00216C29">
        <w:t xml:space="preserve">energetických nákladov </w:t>
      </w:r>
      <w:r w:rsidR="00216C29">
        <w:rPr>
          <w:szCs w:val="22"/>
        </w:rPr>
        <w:t>(elektrina, zemný plyn, teplo a studená voda)</w:t>
      </w:r>
      <w:r w:rsidR="00216C29" w:rsidRPr="00FB05CE">
        <w:t xml:space="preserve"> </w:t>
      </w:r>
      <w:r w:rsidRPr="00FB05CE">
        <w:t xml:space="preserve">počas celej doby trvania zmluvy vrátane DPH musia </w:t>
      </w:r>
      <w:r>
        <w:t>byť rovné alebo vyššie ako súčet hodnôt B1 a B2 vrátane DPH.</w:t>
      </w:r>
    </w:p>
    <w:p w14:paraId="6D509F29" w14:textId="40335B49" w:rsidR="003F6960" w:rsidRDefault="003F696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FBEE" w14:textId="4D2CC01C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4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4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73960"/>
    <w:rsid w:val="00080CD0"/>
    <w:rsid w:val="000A2844"/>
    <w:rsid w:val="000F2663"/>
    <w:rsid w:val="00101CA3"/>
    <w:rsid w:val="00105C8E"/>
    <w:rsid w:val="001258E1"/>
    <w:rsid w:val="00127830"/>
    <w:rsid w:val="00140FA5"/>
    <w:rsid w:val="001816EB"/>
    <w:rsid w:val="00186F71"/>
    <w:rsid w:val="001C1581"/>
    <w:rsid w:val="00216C29"/>
    <w:rsid w:val="00242177"/>
    <w:rsid w:val="0024471D"/>
    <w:rsid w:val="00281CDE"/>
    <w:rsid w:val="002D406C"/>
    <w:rsid w:val="002F0A45"/>
    <w:rsid w:val="00343EB9"/>
    <w:rsid w:val="0036449F"/>
    <w:rsid w:val="00386488"/>
    <w:rsid w:val="003C48F0"/>
    <w:rsid w:val="003D1023"/>
    <w:rsid w:val="003D643B"/>
    <w:rsid w:val="003E5AA6"/>
    <w:rsid w:val="003F6960"/>
    <w:rsid w:val="00411C3F"/>
    <w:rsid w:val="004C3D40"/>
    <w:rsid w:val="004F18DD"/>
    <w:rsid w:val="0050287D"/>
    <w:rsid w:val="005C2135"/>
    <w:rsid w:val="005F1C9A"/>
    <w:rsid w:val="005F5333"/>
    <w:rsid w:val="00602D34"/>
    <w:rsid w:val="00606ECA"/>
    <w:rsid w:val="00664CA8"/>
    <w:rsid w:val="00673A4C"/>
    <w:rsid w:val="0068741B"/>
    <w:rsid w:val="006B5C0D"/>
    <w:rsid w:val="006D0A53"/>
    <w:rsid w:val="006D48EC"/>
    <w:rsid w:val="006D6132"/>
    <w:rsid w:val="006F6013"/>
    <w:rsid w:val="00746C13"/>
    <w:rsid w:val="00754957"/>
    <w:rsid w:val="007652E6"/>
    <w:rsid w:val="007664CC"/>
    <w:rsid w:val="0077406B"/>
    <w:rsid w:val="00785A19"/>
    <w:rsid w:val="007B44A2"/>
    <w:rsid w:val="007D0802"/>
    <w:rsid w:val="007E018F"/>
    <w:rsid w:val="00801CED"/>
    <w:rsid w:val="00805177"/>
    <w:rsid w:val="00843110"/>
    <w:rsid w:val="0084567E"/>
    <w:rsid w:val="008609CC"/>
    <w:rsid w:val="008B0FAA"/>
    <w:rsid w:val="008B2B0E"/>
    <w:rsid w:val="008B6769"/>
    <w:rsid w:val="008E58DD"/>
    <w:rsid w:val="009330D9"/>
    <w:rsid w:val="0093333B"/>
    <w:rsid w:val="00950DA4"/>
    <w:rsid w:val="00962F93"/>
    <w:rsid w:val="00966662"/>
    <w:rsid w:val="009D08D4"/>
    <w:rsid w:val="00A25018"/>
    <w:rsid w:val="00A70101"/>
    <w:rsid w:val="00A7284A"/>
    <w:rsid w:val="00A77414"/>
    <w:rsid w:val="00AD5FF9"/>
    <w:rsid w:val="00B20243"/>
    <w:rsid w:val="00B265F3"/>
    <w:rsid w:val="00B33A88"/>
    <w:rsid w:val="00B42249"/>
    <w:rsid w:val="00B5277C"/>
    <w:rsid w:val="00B5424B"/>
    <w:rsid w:val="00B65B38"/>
    <w:rsid w:val="00B81077"/>
    <w:rsid w:val="00B97BE3"/>
    <w:rsid w:val="00BF623F"/>
    <w:rsid w:val="00BF75FF"/>
    <w:rsid w:val="00C27F16"/>
    <w:rsid w:val="00C53CFB"/>
    <w:rsid w:val="00C622B4"/>
    <w:rsid w:val="00C626B3"/>
    <w:rsid w:val="00CC2234"/>
    <w:rsid w:val="00CD0876"/>
    <w:rsid w:val="00CE1D4C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3E4B"/>
    <w:rsid w:val="00E62CEA"/>
    <w:rsid w:val="00E667DD"/>
    <w:rsid w:val="00F13427"/>
    <w:rsid w:val="00F61398"/>
    <w:rsid w:val="00F630D7"/>
    <w:rsid w:val="00F72FAF"/>
    <w:rsid w:val="00F77980"/>
    <w:rsid w:val="00F85391"/>
    <w:rsid w:val="00FB05CE"/>
    <w:rsid w:val="00FB4205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59B2-DDD4-47D8-BFA9-867CEF8D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34</cp:revision>
  <dcterms:created xsi:type="dcterms:W3CDTF">2019-04-12T09:31:00Z</dcterms:created>
  <dcterms:modified xsi:type="dcterms:W3CDTF">2019-07-17T08:18:00Z</dcterms:modified>
</cp:coreProperties>
</file>