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5B70B2C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D401D" w:rsidRPr="00CD401D">
        <w:rPr>
          <w:rFonts w:ascii="Cambria" w:hAnsi="Cambria" w:cs="Arial"/>
          <w:color w:val="000000"/>
          <w:sz w:val="20"/>
          <w:szCs w:val="20"/>
        </w:rPr>
        <w:t>Zvýšenie efektívnosti energetického hospodárstva a rekonštrukcia vybraných budov vo vlastníctve Hlavného mesta Slovenskej republiky Bratislava – súbor 1</w:t>
      </w:r>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0" w:name="_Hlk516043668"/>
      <w:r w:rsidR="00701235" w:rsidRPr="008113C6">
        <w:rPr>
          <w:rFonts w:ascii="Cambria" w:hAnsi="Cambria" w:cs="Arial"/>
          <w:color w:val="000000"/>
          <w:sz w:val="20"/>
          <w:szCs w:val="20"/>
        </w:rPr>
        <w:t xml:space="preserve">v Dodatku k Úradnému vestníku Európskej únie </w:t>
      </w:r>
      <w:bookmarkEnd w:id="10"/>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5A91BB64"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ID 2</w:t>
      </w:r>
      <w:r w:rsidR="00E30284" w:rsidRPr="008113C6">
        <w:rPr>
          <w:rFonts w:ascii="Cambria" w:hAnsi="Cambria" w:cs="Arial"/>
          <w:bCs/>
        </w:rPr>
        <w:t xml:space="preserve"> </w:t>
      </w:r>
      <w:r w:rsidR="00E30284" w:rsidRPr="00923399">
        <w:rPr>
          <w:rFonts w:ascii="Cambria" w:hAnsi="Cambria" w:cs="Arial"/>
          <w:bCs/>
        </w:rPr>
        <w:t>Primaciálny palác</w:t>
      </w:r>
      <w:r w:rsidR="00E30284" w:rsidRPr="008113C6">
        <w:rPr>
          <w:rFonts w:ascii="Cambria" w:hAnsi="Cambria" w:cs="Arial"/>
          <w:bCs/>
        </w:rPr>
        <w:t>;</w:t>
      </w:r>
      <w:r w:rsidR="00E30284" w:rsidRPr="008113C6">
        <w:rPr>
          <w:rFonts w:ascii="Cambria" w:hAnsi="Cambria" w:cs="Arial"/>
          <w:b/>
        </w:rPr>
        <w:t xml:space="preserve"> </w:t>
      </w:r>
    </w:p>
    <w:p w14:paraId="11512F95" w14:textId="09E01FBF"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znamená všetky opatrenia v rámci Budovy ID 20 Mestské lesy;</w:t>
      </w:r>
    </w:p>
    <w:p w14:paraId="7260658A" w14:textId="5CC2CECC"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09661B" w:rsidRPr="00923399">
        <w:rPr>
          <w:rFonts w:ascii="Cambria" w:hAnsi="Cambria" w:cs="Calibri"/>
          <w:color w:val="000000"/>
        </w:rPr>
        <w:t xml:space="preserve">47 </w:t>
      </w:r>
      <w:r w:rsidR="0009661B" w:rsidRPr="008113C6">
        <w:rPr>
          <w:rFonts w:ascii="Cambria" w:hAnsi="Cambria" w:cs="Arial"/>
          <w:bCs/>
        </w:rPr>
        <w:t>Areál Zdravia Zlaté Piesky</w:t>
      </w:r>
      <w:r w:rsidRPr="008113C6">
        <w:rPr>
          <w:rFonts w:ascii="Cambria" w:hAnsi="Cambria" w:cs="Arial"/>
          <w:bCs/>
        </w:rPr>
        <w:t>;</w:t>
      </w:r>
    </w:p>
    <w:p w14:paraId="7724573D" w14:textId="4BD40EA0"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09661B" w:rsidRPr="008113C6">
        <w:rPr>
          <w:rFonts w:ascii="Cambria" w:hAnsi="Cambria" w:cs="Arial"/>
          <w:bCs/>
        </w:rPr>
        <w:t xml:space="preserve">53 </w:t>
      </w:r>
      <w:r w:rsidR="0009661B" w:rsidRPr="00923399">
        <w:rPr>
          <w:rFonts w:ascii="Cambria" w:hAnsi="Cambria" w:cs="Arial"/>
          <w:bCs/>
        </w:rPr>
        <w:t xml:space="preserve">CVČ </w:t>
      </w:r>
      <w:proofErr w:type="spellStart"/>
      <w:r w:rsidR="0009661B" w:rsidRPr="00923399">
        <w:rPr>
          <w:rFonts w:ascii="Cambria" w:hAnsi="Cambria" w:cs="Arial"/>
          <w:bCs/>
        </w:rPr>
        <w:t>Gessayova</w:t>
      </w:r>
      <w:proofErr w:type="spellEnd"/>
      <w:r w:rsidRPr="008113C6">
        <w:rPr>
          <w:rFonts w:ascii="Cambria" w:hAnsi="Cambria" w:cs="Arial"/>
          <w:bCs/>
        </w:rPr>
        <w:t>;</w:t>
      </w:r>
    </w:p>
    <w:p w14:paraId="4833C5F5" w14:textId="285DCE09"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5“ </w:t>
      </w:r>
      <w:r w:rsidRPr="008113C6">
        <w:rPr>
          <w:rFonts w:ascii="Cambria" w:hAnsi="Cambria" w:cs="Arial"/>
          <w:bCs/>
        </w:rPr>
        <w:t xml:space="preserve">znamená všetky opatrenia v rámci Budovy ID </w:t>
      </w:r>
      <w:r w:rsidR="0009661B" w:rsidRPr="008113C6">
        <w:rPr>
          <w:rFonts w:ascii="Cambria" w:hAnsi="Cambria" w:cs="Arial"/>
          <w:bCs/>
        </w:rPr>
        <w:t xml:space="preserve">57 </w:t>
      </w:r>
      <w:r w:rsidR="0009661B" w:rsidRPr="00923399">
        <w:rPr>
          <w:rFonts w:ascii="Cambria" w:hAnsi="Cambria" w:cs="Arial"/>
          <w:bCs/>
        </w:rPr>
        <w:t xml:space="preserve">CVČ </w:t>
      </w:r>
      <w:proofErr w:type="spellStart"/>
      <w:r w:rsidR="0009661B" w:rsidRPr="00923399">
        <w:rPr>
          <w:rFonts w:ascii="Cambria" w:hAnsi="Cambria" w:cs="Arial"/>
          <w:bCs/>
        </w:rPr>
        <w:t>Kulíškova</w:t>
      </w:r>
      <w:proofErr w:type="spellEnd"/>
      <w:r w:rsidRPr="008113C6">
        <w:rPr>
          <w:rFonts w:ascii="Cambria" w:hAnsi="Cambria" w:cs="Arial"/>
          <w:bCs/>
        </w:rPr>
        <w:t>;</w:t>
      </w:r>
    </w:p>
    <w:p w14:paraId="053E1928" w14:textId="7F4FB71C"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6“ </w:t>
      </w:r>
      <w:r w:rsidRPr="008113C6">
        <w:rPr>
          <w:rFonts w:ascii="Cambria" w:hAnsi="Cambria" w:cs="Arial"/>
          <w:bCs/>
        </w:rPr>
        <w:t xml:space="preserve">znamená všetky opatrenia v rámci Budovy ID </w:t>
      </w:r>
      <w:r w:rsidR="0009661B" w:rsidRPr="008113C6">
        <w:rPr>
          <w:rFonts w:ascii="Cambria" w:hAnsi="Cambria" w:cs="Arial"/>
          <w:bCs/>
        </w:rPr>
        <w:t xml:space="preserve">60 </w:t>
      </w:r>
      <w:r w:rsidR="0009661B" w:rsidRPr="00923399">
        <w:rPr>
          <w:rFonts w:ascii="Cambria" w:hAnsi="Cambria" w:cs="Arial"/>
          <w:bCs/>
        </w:rPr>
        <w:t>CVČ Pionierska</w:t>
      </w:r>
      <w:r w:rsidRPr="008113C6">
        <w:rPr>
          <w:rFonts w:ascii="Cambria" w:hAnsi="Cambria" w:cs="Arial"/>
          <w:bCs/>
        </w:rPr>
        <w:t>;</w:t>
      </w:r>
    </w:p>
    <w:p w14:paraId="3A57BC25" w14:textId="7E7F1106"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7“ </w:t>
      </w:r>
      <w:r w:rsidRPr="008113C6">
        <w:rPr>
          <w:rFonts w:ascii="Cambria" w:hAnsi="Cambria" w:cs="Arial"/>
          <w:bCs/>
        </w:rPr>
        <w:t xml:space="preserve">znamená všetky opatrenia v rámci Budovy ID </w:t>
      </w:r>
      <w:r w:rsidR="0009661B" w:rsidRPr="008113C6">
        <w:rPr>
          <w:rFonts w:ascii="Cambria" w:hAnsi="Cambria" w:cs="Arial"/>
          <w:bCs/>
        </w:rPr>
        <w:t xml:space="preserve">81 </w:t>
      </w:r>
      <w:r w:rsidR="0009661B" w:rsidRPr="00923399">
        <w:rPr>
          <w:rFonts w:ascii="Cambria" w:hAnsi="Cambria" w:cs="Arial"/>
          <w:bCs/>
        </w:rPr>
        <w:t>ZUŠ Istrijská;</w:t>
      </w:r>
    </w:p>
    <w:p w14:paraId="52D99C26" w14:textId="18D6D97D"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8“ </w:t>
      </w:r>
      <w:r w:rsidRPr="008113C6">
        <w:rPr>
          <w:rFonts w:ascii="Cambria" w:hAnsi="Cambria" w:cs="Arial"/>
          <w:bCs/>
        </w:rPr>
        <w:t xml:space="preserve">znamená všetky opatrenia v rámci Budovy ID </w:t>
      </w:r>
      <w:r w:rsidR="0009661B" w:rsidRPr="008113C6">
        <w:rPr>
          <w:rFonts w:ascii="Cambria" w:hAnsi="Cambria" w:cs="Arial"/>
          <w:bCs/>
        </w:rPr>
        <w:t xml:space="preserve">86 </w:t>
      </w:r>
      <w:r w:rsidR="0009661B" w:rsidRPr="00923399">
        <w:rPr>
          <w:rFonts w:ascii="Cambria" w:hAnsi="Cambria" w:cs="Arial"/>
          <w:bCs/>
        </w:rPr>
        <w:t xml:space="preserve">ZUŠ </w:t>
      </w:r>
      <w:proofErr w:type="spellStart"/>
      <w:r w:rsidR="0009661B" w:rsidRPr="00923399">
        <w:rPr>
          <w:rFonts w:ascii="Cambria" w:hAnsi="Cambria" w:cs="Arial"/>
          <w:bCs/>
        </w:rPr>
        <w:t>Topolčianska</w:t>
      </w:r>
      <w:proofErr w:type="spellEnd"/>
      <w:r w:rsidRPr="008113C6">
        <w:rPr>
          <w:rFonts w:ascii="Cambria" w:hAnsi="Cambria" w:cs="Arial"/>
          <w:bCs/>
        </w:rPr>
        <w:t>;</w:t>
      </w:r>
    </w:p>
    <w:p w14:paraId="01484D4D" w14:textId="270FFED3"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9“ </w:t>
      </w:r>
      <w:r w:rsidRPr="008113C6">
        <w:rPr>
          <w:rFonts w:ascii="Cambria" w:hAnsi="Cambria" w:cs="Arial"/>
          <w:bCs/>
        </w:rPr>
        <w:t xml:space="preserve">znamená všetky opatrenia v rámci Budovy ID </w:t>
      </w:r>
      <w:r w:rsidR="0009661B" w:rsidRPr="008113C6">
        <w:rPr>
          <w:rFonts w:ascii="Cambria" w:hAnsi="Cambria" w:cs="Arial"/>
          <w:bCs/>
        </w:rPr>
        <w:t xml:space="preserve">55a </w:t>
      </w:r>
      <w:r w:rsidR="0009661B" w:rsidRPr="00923399">
        <w:rPr>
          <w:rFonts w:ascii="Cambria" w:hAnsi="Cambria" w:cs="Arial"/>
          <w:bCs/>
        </w:rPr>
        <w:t>CVČ Štefánikova</w:t>
      </w:r>
      <w:r w:rsidRPr="008113C6">
        <w:rPr>
          <w:rFonts w:ascii="Cambria" w:hAnsi="Cambria" w:cs="Arial"/>
          <w:bCs/>
        </w:rPr>
        <w:t>;</w:t>
      </w:r>
    </w:p>
    <w:p w14:paraId="27B42AE4" w14:textId="426CD55C"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10“ </w:t>
      </w:r>
      <w:r w:rsidRPr="008113C6">
        <w:rPr>
          <w:rFonts w:ascii="Cambria" w:hAnsi="Cambria" w:cs="Arial"/>
          <w:bCs/>
        </w:rPr>
        <w:t xml:space="preserve">znamená všetky opatrenia v rámci Budovy ID </w:t>
      </w:r>
      <w:r w:rsidR="00DD1166" w:rsidRPr="008113C6">
        <w:rPr>
          <w:rFonts w:ascii="Cambria" w:hAnsi="Cambria" w:cs="Arial"/>
          <w:bCs/>
        </w:rPr>
        <w:t xml:space="preserve">55b </w:t>
      </w:r>
      <w:r w:rsidR="00DD1166" w:rsidRPr="00923399">
        <w:rPr>
          <w:rFonts w:ascii="Cambria" w:hAnsi="Cambria" w:cs="Arial"/>
          <w:bCs/>
        </w:rPr>
        <w:t>CVČ Štefánikova</w:t>
      </w:r>
      <w:r w:rsidRPr="008113C6">
        <w:rPr>
          <w:rFonts w:ascii="Cambria" w:hAnsi="Cambria" w:cs="Arial"/>
          <w:bCs/>
        </w:rPr>
        <w:t>;</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4EEC967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623CFD" w:rsidRPr="008113C6">
        <w:rPr>
          <w:rFonts w:ascii="Cambria" w:hAnsi="Cambria" w:cs="Arial"/>
        </w:rPr>
        <w:t xml:space="preserve">10)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w:t>
      </w:r>
      <w:r w:rsidRPr="008113C6">
        <w:rPr>
          <w:rFonts w:ascii="Cambria" w:hAnsi="Cambria" w:cs="Arial"/>
        </w:rPr>
        <w:lastRenderedPageBreak/>
        <w:t>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15B6F226"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10</w:t>
      </w:r>
      <w:r w:rsidRPr="008113C6">
        <w:rPr>
          <w:rFonts w:ascii="Cambria" w:hAnsi="Cambria" w:cs="Arial"/>
        </w:rPr>
        <w:t xml:space="preserve"> 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7B9BE3CB"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10 </w:t>
      </w:r>
      <w:r w:rsidRPr="008113C6">
        <w:rPr>
          <w:rFonts w:ascii="Cambria" w:hAnsi="Cambria" w:cs="Arial"/>
          <w:sz w:val="20"/>
          <w:szCs w:val="20"/>
          <w:lang w:eastAsia="cs-CZ"/>
        </w:rPr>
        <w:t xml:space="preserve">samostatne a vykladajú sa vždy v spojení s príslušným Dielom 1 až Dielom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w:t>
      </w:r>
      <w:r w:rsidRPr="008113C6">
        <w:rPr>
          <w:rFonts w:ascii="Cambria" w:hAnsi="Cambria" w:cs="Arial"/>
          <w:sz w:val="20"/>
          <w:szCs w:val="20"/>
          <w:lang w:eastAsia="cs-CZ"/>
        </w:rPr>
        <w:lastRenderedPageBreak/>
        <w:t xml:space="preserve">vykonania prislúchajúce konkrétnemu Dielu 1 až Dielu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podľa toho, vo vzťahu k akému Dielu sa takéto slovné spojenie práve vykladá);</w:t>
      </w:r>
      <w:bookmarkEnd w:id="13"/>
    </w:p>
    <w:p w14:paraId="3F4DB8FC" w14:textId="4D49EFA1"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lastRenderedPageBreak/>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lastRenderedPageBreak/>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3D7D92B0"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 xml:space="preserve">c najneskôr </w:t>
      </w:r>
      <w:r w:rsidR="002C079E" w:rsidRPr="004D05C6">
        <w:rPr>
          <w:rFonts w:ascii="Cambria" w:hAnsi="Cambria" w:cs="Arial"/>
          <w:color w:val="FF0000"/>
          <w:sz w:val="20"/>
          <w:szCs w:val="20"/>
        </w:rPr>
        <w:t>do</w:t>
      </w:r>
      <w:r w:rsidR="00CA089D" w:rsidRPr="004D05C6">
        <w:rPr>
          <w:rFonts w:ascii="Cambria" w:hAnsi="Cambria" w:cs="Arial"/>
          <w:color w:val="FF0000"/>
          <w:sz w:val="20"/>
          <w:szCs w:val="20"/>
        </w:rPr>
        <w:t xml:space="preserve"> </w:t>
      </w:r>
      <w:r w:rsidR="004D05C6" w:rsidRPr="004D05C6">
        <w:rPr>
          <w:rFonts w:ascii="Cambria" w:hAnsi="Cambria" w:cs="Arial"/>
          <w:b/>
          <w:bCs/>
          <w:color w:val="FF0000"/>
          <w:sz w:val="20"/>
          <w:szCs w:val="20"/>
        </w:rPr>
        <w:t>12</w:t>
      </w:r>
      <w:r w:rsidR="002C079E" w:rsidRPr="004D05C6">
        <w:rPr>
          <w:rFonts w:ascii="Cambria" w:hAnsi="Cambria" w:cs="Arial"/>
          <w:b/>
          <w:bCs/>
          <w:color w:val="FF0000"/>
          <w:sz w:val="20"/>
          <w:szCs w:val="20"/>
        </w:rPr>
        <w:t xml:space="preserve"> mesiacov</w:t>
      </w:r>
      <w:r w:rsidR="002C079E" w:rsidRPr="004D05C6">
        <w:rPr>
          <w:rFonts w:ascii="Cambria" w:hAnsi="Cambria" w:cs="Arial"/>
          <w:color w:val="FF0000"/>
          <w:sz w:val="20"/>
          <w:szCs w:val="20"/>
        </w:rPr>
        <w:t xml:space="preserve"> </w:t>
      </w:r>
      <w:r w:rsidR="002C079E" w:rsidRPr="008113C6">
        <w:rPr>
          <w:rFonts w:ascii="Cambria" w:hAnsi="Cambria" w:cs="Arial"/>
          <w:sz w:val="20"/>
          <w:szCs w:val="20"/>
        </w:rPr>
        <w:t xml:space="preserve">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Start w:id="31" w:name="_GoBack"/>
      <w:bookmarkEnd w:id="30"/>
      <w:bookmarkEnd w:id="31"/>
    </w:p>
    <w:bookmarkEnd w:id="25"/>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2"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2"/>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w:t>
      </w:r>
      <w:r w:rsidRPr="008113C6">
        <w:rPr>
          <w:rFonts w:ascii="Cambria" w:hAnsi="Cambria" w:cs="Arial"/>
          <w:bCs/>
          <w:sz w:val="20"/>
          <w:szCs w:val="20"/>
        </w:rPr>
        <w:lastRenderedPageBreak/>
        <w:t xml:space="preserve">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3"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3"/>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4"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4"/>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5"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5"/>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6" w:name="_Ref501711151"/>
      <w:bookmarkStart w:id="37"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6"/>
      <w:r w:rsidR="00593A8A" w:rsidRPr="008113C6">
        <w:rPr>
          <w:rFonts w:ascii="Cambria" w:hAnsi="Cambria" w:cs="Arial"/>
          <w:b/>
          <w:bCs/>
          <w:sz w:val="20"/>
          <w:szCs w:val="20"/>
        </w:rPr>
        <w:t>plnení</w:t>
      </w:r>
      <w:bookmarkEnd w:id="37"/>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8"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8"/>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9" w:name="_Ref485110657"/>
      <w:bookmarkStart w:id="40"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39"/>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0"/>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1"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1"/>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2"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2"/>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3" w:name="_Ref485114690"/>
      <w:r w:rsidRPr="008113C6">
        <w:rPr>
          <w:rFonts w:ascii="Cambria" w:hAnsi="Cambria" w:cs="Arial"/>
          <w:sz w:val="20"/>
          <w:szCs w:val="20"/>
        </w:rPr>
        <w:lastRenderedPageBreak/>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3"/>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4" w:name="_Ref515887199"/>
      <w:bookmarkStart w:id="45"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4"/>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w:t>
      </w:r>
      <w:r w:rsidR="0016476F" w:rsidRPr="008113C6">
        <w:rPr>
          <w:rFonts w:ascii="Cambria" w:hAnsi="Cambria" w:cs="Arial"/>
          <w:bCs/>
          <w:sz w:val="20"/>
          <w:szCs w:val="20"/>
        </w:rPr>
        <w:lastRenderedPageBreak/>
        <w:t>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6" w:name="_Ref485113649"/>
      <w:bookmarkEnd w:id="45"/>
      <w:r w:rsidRPr="008113C6">
        <w:rPr>
          <w:rFonts w:ascii="Cambria" w:hAnsi="Cambria" w:cs="Arial"/>
          <w:b/>
          <w:bCs/>
          <w:sz w:val="20"/>
          <w:szCs w:val="20"/>
        </w:rPr>
        <w:t>Preberacie</w:t>
      </w:r>
      <w:r w:rsidRPr="008113C6">
        <w:rPr>
          <w:rFonts w:ascii="Cambria" w:hAnsi="Cambria" w:cs="Arial"/>
          <w:b/>
          <w:sz w:val="20"/>
          <w:szCs w:val="20"/>
        </w:rPr>
        <w:t xml:space="preserve"> konanie</w:t>
      </w:r>
      <w:bookmarkEnd w:id="46"/>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7"/>
      <w:r w:rsidRPr="008113C6">
        <w:rPr>
          <w:rFonts w:ascii="Cambria" w:hAnsi="Cambria" w:cs="Arial"/>
          <w:bCs/>
          <w:iCs/>
          <w:sz w:val="20"/>
          <w:szCs w:val="20"/>
        </w:rPr>
        <w:t xml:space="preserve">. </w:t>
      </w:r>
      <w:bookmarkStart w:id="48"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8"/>
      <w:bookmarkEnd w:id="49"/>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0"/>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060"/>
      <w:r w:rsidRPr="008113C6">
        <w:rPr>
          <w:rFonts w:ascii="Cambria" w:hAnsi="Cambria" w:cs="Arial"/>
          <w:bCs/>
          <w:iCs/>
          <w:sz w:val="20"/>
          <w:szCs w:val="20"/>
        </w:rPr>
        <w:t>Do štrnástich (14) dní odo dňa začatia Preberacieho konania je Objednávateľ povinný:</w:t>
      </w:r>
      <w:bookmarkEnd w:id="51"/>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24571"/>
      <w:r w:rsidRPr="008113C6">
        <w:rPr>
          <w:rFonts w:ascii="Cambria" w:hAnsi="Cambria" w:cs="Arial"/>
          <w:bCs/>
          <w:iCs/>
          <w:sz w:val="20"/>
          <w:szCs w:val="20"/>
        </w:rPr>
        <w:lastRenderedPageBreak/>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2"/>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3"/>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4"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4"/>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5"/>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6"/>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7"/>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lastRenderedPageBreak/>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8"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8"/>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9" w:name="_Ref517279056"/>
      <w:bookmarkStart w:id="60"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1" w:name="_Ref8125368"/>
      <w:bookmarkEnd w:id="59"/>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2" w:name="_Ref515022777"/>
            <w:bookmarkEnd w:id="61"/>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5207DFAF" w14:textId="77777777" w:rsidTr="00EC123F">
        <w:trPr>
          <w:trHeight w:val="600"/>
        </w:trPr>
        <w:tc>
          <w:tcPr>
            <w:tcW w:w="5240" w:type="dxa"/>
          </w:tcPr>
          <w:p w14:paraId="73024665" w14:textId="71BD27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5</w:t>
            </w:r>
          </w:p>
        </w:tc>
        <w:tc>
          <w:tcPr>
            <w:tcW w:w="3123" w:type="dxa"/>
          </w:tcPr>
          <w:p w14:paraId="395376F8" w14:textId="1F16043E"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1E2F730" w14:textId="77777777" w:rsidTr="00EC123F">
        <w:trPr>
          <w:trHeight w:val="600"/>
        </w:trPr>
        <w:tc>
          <w:tcPr>
            <w:tcW w:w="5240" w:type="dxa"/>
          </w:tcPr>
          <w:p w14:paraId="131D2361" w14:textId="784DC89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6</w:t>
            </w:r>
          </w:p>
        </w:tc>
        <w:tc>
          <w:tcPr>
            <w:tcW w:w="3123" w:type="dxa"/>
          </w:tcPr>
          <w:p w14:paraId="5FE2FBCE" w14:textId="4E79E31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7EE6C3F3" w14:textId="77777777" w:rsidTr="00EC123F">
        <w:trPr>
          <w:trHeight w:val="600"/>
        </w:trPr>
        <w:tc>
          <w:tcPr>
            <w:tcW w:w="5240" w:type="dxa"/>
          </w:tcPr>
          <w:p w14:paraId="1B31AEC0" w14:textId="7AD5A701"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7</w:t>
            </w:r>
          </w:p>
        </w:tc>
        <w:tc>
          <w:tcPr>
            <w:tcW w:w="3123" w:type="dxa"/>
          </w:tcPr>
          <w:p w14:paraId="5C09CC12" w14:textId="76CC6C2F"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5E657EF" w14:textId="77777777" w:rsidTr="00EC123F">
        <w:trPr>
          <w:trHeight w:val="600"/>
        </w:trPr>
        <w:tc>
          <w:tcPr>
            <w:tcW w:w="5240" w:type="dxa"/>
          </w:tcPr>
          <w:p w14:paraId="75F83351" w14:textId="1A7A9A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8</w:t>
            </w:r>
          </w:p>
        </w:tc>
        <w:tc>
          <w:tcPr>
            <w:tcW w:w="3123" w:type="dxa"/>
          </w:tcPr>
          <w:p w14:paraId="4DD595F3" w14:textId="664B74C9"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67FF9A3E" w14:textId="77777777" w:rsidTr="00EC123F">
        <w:trPr>
          <w:trHeight w:val="600"/>
        </w:trPr>
        <w:tc>
          <w:tcPr>
            <w:tcW w:w="5240" w:type="dxa"/>
          </w:tcPr>
          <w:p w14:paraId="3DEF8180" w14:textId="419B6082"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9</w:t>
            </w:r>
          </w:p>
        </w:tc>
        <w:tc>
          <w:tcPr>
            <w:tcW w:w="3123" w:type="dxa"/>
          </w:tcPr>
          <w:p w14:paraId="2847DD40" w14:textId="4F57B8DD"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2D1AFE0" w14:textId="77777777" w:rsidTr="00EC123F">
        <w:trPr>
          <w:trHeight w:val="600"/>
        </w:trPr>
        <w:tc>
          <w:tcPr>
            <w:tcW w:w="5240" w:type="dxa"/>
          </w:tcPr>
          <w:p w14:paraId="53CD2CFD" w14:textId="10F09BCF"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10</w:t>
            </w:r>
          </w:p>
        </w:tc>
        <w:tc>
          <w:tcPr>
            <w:tcW w:w="3123" w:type="dxa"/>
          </w:tcPr>
          <w:p w14:paraId="0143D868" w14:textId="6BDDAD47"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0"/>
      <w:bookmarkEnd w:id="62"/>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2A6B2D5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7264F5" w:rsidRPr="008113C6">
        <w:rPr>
          <w:rFonts w:ascii="Cambria" w:hAnsi="Cambria" w:cs="Arial"/>
          <w:sz w:val="20"/>
          <w:szCs w:val="20"/>
        </w:rPr>
        <w:t>10</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lastRenderedPageBreak/>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3" w:name="_Ref485112014"/>
      <w:bookmarkStart w:id="64"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3"/>
      <w:bookmarkEnd w:id="64"/>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5"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5"/>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6"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7"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6"/>
      <w:bookmarkEnd w:id="67"/>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8" w:name="_Ref488313177"/>
      <w:bookmarkStart w:id="69"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8"/>
      <w:bookmarkEnd w:id="69"/>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0" w:name="_Hlk3897230"/>
      <w:bookmarkStart w:id="71"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2"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2"/>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0"/>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3" w:name="_Hlk3897283"/>
      <w:bookmarkEnd w:id="71"/>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3"/>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4"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4"/>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5"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5"/>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6"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6"/>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7"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 xml:space="preserve">podľa ustanovenia § 47a </w:t>
      </w:r>
      <w:r w:rsidR="00F6298D" w:rsidRPr="008113C6">
        <w:rPr>
          <w:rFonts w:ascii="Cambria" w:hAnsi="Cambria" w:cs="Arial"/>
          <w:bCs/>
          <w:iCs/>
          <w:sz w:val="20"/>
          <w:szCs w:val="20"/>
        </w:rPr>
        <w:lastRenderedPageBreak/>
        <w:t>Občianskeho zákonníka a ustanovenia § 5a zákona č. 211/2000 Z. z. o slobodnom prístupe k informáciám a o zmene a doplnení niektorých zákonov (zákon o slobode informácií) v znení neskorších predpisov.</w:t>
      </w:r>
    </w:p>
    <w:bookmarkEnd w:id="77"/>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8"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8"/>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9"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9"/>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0" w:name="_Ref485125593"/>
      <w:r w:rsidRPr="008113C6">
        <w:rPr>
          <w:rFonts w:ascii="Cambria" w:hAnsi="Cambria" w:cs="Arial"/>
          <w:b/>
          <w:bCs/>
          <w:sz w:val="20"/>
          <w:szCs w:val="20"/>
        </w:rPr>
        <w:t>Subdodávatelia</w:t>
      </w:r>
      <w:bookmarkEnd w:id="80"/>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1"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1"/>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2"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2"/>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3"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w:t>
      </w:r>
      <w:r w:rsidRPr="008113C6">
        <w:rPr>
          <w:rFonts w:ascii="Cambria" w:hAnsi="Cambria" w:cs="Arial"/>
          <w:bCs/>
          <w:iCs/>
          <w:sz w:val="20"/>
          <w:szCs w:val="20"/>
        </w:rPr>
        <w:lastRenderedPageBreak/>
        <w:t xml:space="preserve">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4" w:name="_Ref517346330"/>
      <w:r w:rsidRPr="008113C6">
        <w:rPr>
          <w:rFonts w:ascii="Cambria" w:hAnsi="Cambria" w:cs="Arial"/>
          <w:b/>
          <w:bCs/>
          <w:sz w:val="20"/>
          <w:szCs w:val="20"/>
        </w:rPr>
        <w:t>Výzva na nápravu</w:t>
      </w:r>
      <w:bookmarkEnd w:id="83"/>
      <w:bookmarkEnd w:id="84"/>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5" w:name="_Ref8127504"/>
      <w:bookmarkStart w:id="86"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5"/>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lastRenderedPageBreak/>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6"/>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7"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7"/>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8" w:name="_Ref485644730"/>
      <w:r w:rsidRPr="008113C6">
        <w:rPr>
          <w:rFonts w:ascii="Cambria" w:hAnsi="Cambria" w:cs="Arial"/>
          <w:b/>
          <w:bCs/>
          <w:sz w:val="20"/>
          <w:szCs w:val="20"/>
        </w:rPr>
        <w:t xml:space="preserve">Bankové </w:t>
      </w:r>
      <w:bookmarkEnd w:id="88"/>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9" w:name="_Ref485645101"/>
      <w:bookmarkStart w:id="90"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1"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1"/>
      <w:r w:rsidR="00303ABC" w:rsidRPr="008113C6">
        <w:rPr>
          <w:rFonts w:ascii="Cambria" w:hAnsi="Cambria" w:cs="Arial"/>
          <w:color w:val="auto"/>
          <w:sz w:val="20"/>
          <w:szCs w:val="20"/>
        </w:rPr>
        <w:t xml:space="preserve"> </w:t>
      </w:r>
      <w:bookmarkEnd w:id="89"/>
      <w:bookmarkEnd w:id="90"/>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w:t>
      </w:r>
      <w:r w:rsidR="0039492B" w:rsidRPr="008113C6">
        <w:rPr>
          <w:rFonts w:ascii="Cambria" w:hAnsi="Cambria" w:cs="Arial"/>
          <w:sz w:val="20"/>
          <w:szCs w:val="20"/>
        </w:rPr>
        <w:lastRenderedPageBreak/>
        <w:t>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2" w:name="_Ref517947464"/>
      <w:r w:rsidRPr="008113C6">
        <w:rPr>
          <w:rFonts w:ascii="Cambria" w:hAnsi="Cambria" w:cs="Arial"/>
          <w:b/>
          <w:bCs/>
          <w:sz w:val="20"/>
          <w:szCs w:val="20"/>
        </w:rPr>
        <w:t>Mlčanlivosť</w:t>
      </w:r>
      <w:bookmarkEnd w:id="92"/>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3"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4"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4"/>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3"/>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w:t>
      </w:r>
      <w:r w:rsidR="00420A6D" w:rsidRPr="008113C6">
        <w:rPr>
          <w:rFonts w:ascii="Cambria" w:hAnsi="Cambria" w:cs="Arial"/>
          <w:color w:val="000000"/>
          <w:sz w:val="20"/>
          <w:szCs w:val="20"/>
        </w:rPr>
        <w:lastRenderedPageBreak/>
        <w:t xml:space="preserve">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5"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5"/>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6"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6"/>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7FC1478"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B.14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lastRenderedPageBreak/>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7"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7"/>
    </w:p>
    <w:p w14:paraId="53EC3E5D"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vrátane nárokov súvisiacich s odstránením vád a nedorobkov počas plynutia Záručnej doby (tak, ako je definovaná v Zmluve),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811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8113C6">
      <w:pPr>
        <w:spacing w:before="12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8113C6">
      <w:pPr>
        <w:spacing w:before="120"/>
        <w:jc w:val="both"/>
        <w:rPr>
          <w:rFonts w:ascii="Cambria" w:hAnsi="Cambria" w:cs="Arial"/>
          <w:snapToGrid w:val="0"/>
          <w:sz w:val="20"/>
          <w:szCs w:val="20"/>
        </w:rPr>
      </w:pPr>
      <w:r w:rsidRPr="00923399">
        <w:rPr>
          <w:rFonts w:ascii="Cambria" w:hAnsi="Cambria" w:cs="Arial"/>
          <w:snapToGrid w:val="0"/>
          <w:sz w:val="20"/>
          <w:szCs w:val="20"/>
        </w:rPr>
        <w:t>Túto bankovú záruku je možné uplatniť aj po čiastkach. S každou nami vyplatenou čiastkou v rámci tejto bankovej záruky sa znižuje náš záväzok o výšku rovnajúcu sa výške vyplatenej čiastky.</w:t>
      </w:r>
    </w:p>
    <w:p w14:paraId="62C8D48F"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w:t>
      </w:r>
      <w:r w:rsidRPr="00923399">
        <w:rPr>
          <w:rFonts w:ascii="Cambria" w:hAnsi="Cambria" w:cs="Arial"/>
          <w:sz w:val="20"/>
          <w:szCs w:val="20"/>
        </w:rPr>
        <w:lastRenderedPageBreak/>
        <w:t xml:space="preserve">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A299" w14:textId="77777777" w:rsidR="00433609" w:rsidRDefault="00433609" w:rsidP="005A4804">
      <w:pPr>
        <w:spacing w:before="0" w:line="240" w:lineRule="auto"/>
      </w:pPr>
      <w:r>
        <w:separator/>
      </w:r>
    </w:p>
  </w:endnote>
  <w:endnote w:type="continuationSeparator" w:id="0">
    <w:p w14:paraId="68B87152" w14:textId="77777777" w:rsidR="00433609" w:rsidRDefault="00433609"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B25497" w:rsidRPr="00C32950" w:rsidRDefault="00B25497">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DA14" w14:textId="77777777" w:rsidR="00433609" w:rsidRDefault="00433609" w:rsidP="005A4804">
      <w:pPr>
        <w:spacing w:before="0" w:line="240" w:lineRule="auto"/>
      </w:pPr>
      <w:r>
        <w:separator/>
      </w:r>
    </w:p>
  </w:footnote>
  <w:footnote w:type="continuationSeparator" w:id="0">
    <w:p w14:paraId="3CA10C21" w14:textId="77777777" w:rsidR="00433609" w:rsidRDefault="00433609"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B25497" w:rsidRPr="004D50E9" w:rsidRDefault="00B25497" w:rsidP="00B03B6B">
    <w:pPr>
      <w:pStyle w:val="Hlavika"/>
      <w:tabs>
        <w:tab w:val="clear" w:pos="4536"/>
        <w:tab w:val="clear" w:pos="9072"/>
      </w:tabs>
      <w:spacing w:before="0" w:line="276" w:lineRule="auto"/>
      <w:jc w:val="left"/>
      <w:rPr>
        <w:rFonts w:ascii="Cambria" w:hAnsi="Cambria"/>
        <w:b/>
        <w:sz w:val="20"/>
        <w:szCs w:val="20"/>
      </w:rPr>
    </w:pPr>
    <w:bookmarkStart w:id="98" w:name="_Hlk523830414"/>
    <w:bookmarkStart w:id="99"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8"/>
    <w:bookmarkEnd w:id="99"/>
    <w:r w:rsidRPr="004D50E9">
      <w:rPr>
        <w:rFonts w:ascii="Cambria" w:hAnsi="Cambria"/>
        <w:b/>
        <w:sz w:val="20"/>
        <w:szCs w:val="20"/>
      </w:rPr>
      <w:t>:</w:t>
    </w:r>
  </w:p>
  <w:p w14:paraId="45692401" w14:textId="68039E30" w:rsidR="00B25497" w:rsidRPr="004D50E9" w:rsidRDefault="00B25497"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B25497" w:rsidRPr="00B03B6B" w:rsidRDefault="00B25497"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609"/>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5C6"/>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154854-3F27-4E35-8064-48296732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13521</Words>
  <Characters>77070</Characters>
  <Application>Microsoft Office Word</Application>
  <DocSecurity>0</DocSecurity>
  <Lines>642</Lines>
  <Paragraphs>180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90411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Szakáll Marian, Mgr.</dc:creator>
  <cp:lastModifiedBy>Marian Szakáll</cp:lastModifiedBy>
  <cp:revision>2</cp:revision>
  <cp:lastPrinted>2018-07-02T09:14:00Z</cp:lastPrinted>
  <dcterms:created xsi:type="dcterms:W3CDTF">2019-08-16T13:12:00Z</dcterms:created>
  <dcterms:modified xsi:type="dcterms:W3CDTF">2019-08-16T13:12:00Z</dcterms:modified>
</cp:coreProperties>
</file>