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21BC710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36474B">
        <w:rPr>
          <w:rFonts w:ascii="Arial" w:hAnsi="Arial" w:cs="Arial"/>
          <w:sz w:val="22"/>
          <w:szCs w:val="22"/>
        </w:rPr>
        <w:t xml:space="preserve">- </w:t>
      </w:r>
      <w:r w:rsidR="00C01977" w:rsidRPr="00C01977">
        <w:rPr>
          <w:rFonts w:ascii="Arial" w:hAnsi="Arial" w:cs="Arial"/>
          <w:sz w:val="22"/>
          <w:szCs w:val="22"/>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77777777"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 xml:space="preserve">Ing. Ladislav </w:t>
      </w:r>
      <w:proofErr w:type="spellStart"/>
      <w:r w:rsidR="00D34AD7" w:rsidRPr="00D34AD7">
        <w:rPr>
          <w:rFonts w:ascii="Arial" w:hAnsi="Arial" w:cs="Arial"/>
          <w:color w:val="000000" w:themeColor="text1"/>
        </w:rPr>
        <w:t>Bariak</w:t>
      </w:r>
      <w:proofErr w:type="spellEnd"/>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2BD3E7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34AD7">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D04332A" w:rsidR="00AF61DC"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nebytového priestoru- </w:t>
      </w:r>
      <w:r w:rsidR="00C01977" w:rsidRPr="00C01977">
        <w:rPr>
          <w:rFonts w:eastAsia="Arial" w:cs="Arial"/>
          <w:bCs/>
          <w:szCs w:val="20"/>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60B70D42"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C01977">
        <w:rPr>
          <w:rFonts w:ascii="Arial" w:hAnsi="Arial" w:cs="Arial"/>
          <w:b/>
          <w:bCs/>
          <w:sz w:val="20"/>
          <w:szCs w:val="20"/>
          <w:u w:val="single"/>
        </w:rPr>
        <w:t>30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C01977">
        <w:rPr>
          <w:rFonts w:ascii="Arial" w:hAnsi="Arial" w:cs="Arial"/>
          <w:b/>
          <w:bCs/>
          <w:sz w:val="20"/>
          <w:szCs w:val="20"/>
          <w:u w:val="single"/>
        </w:rPr>
        <w:t>tridsať</w:t>
      </w:r>
      <w:r w:rsidR="00574C8E">
        <w:rPr>
          <w:rFonts w:ascii="Arial" w:hAnsi="Arial" w:cs="Arial"/>
          <w:b/>
          <w:bCs/>
          <w:sz w:val="20"/>
          <w:szCs w:val="20"/>
          <w:u w:val="single"/>
        </w:rPr>
        <w:t xml:space="preserve"> </w:t>
      </w:r>
      <w:r>
        <w:rPr>
          <w:rFonts w:ascii="Arial" w:hAnsi="Arial" w:cs="Arial"/>
          <w:b/>
          <w:bCs/>
          <w:sz w:val="20"/>
          <w:szCs w:val="20"/>
          <w:u w:val="single"/>
        </w:rPr>
        <w:t>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28BEC"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0F060FD5"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E522C">
        <w:rPr>
          <w:rFonts w:ascii="Arial" w:hAnsi="Arial" w:cs="Arial"/>
          <w:b/>
          <w:bCs/>
          <w:sz w:val="20"/>
          <w:szCs w:val="20"/>
        </w:rPr>
        <w:t>24</w:t>
      </w:r>
      <w:r w:rsidR="00862BE0">
        <w:rPr>
          <w:rFonts w:ascii="Arial" w:hAnsi="Arial" w:cs="Arial"/>
          <w:b/>
          <w:bCs/>
          <w:sz w:val="20"/>
          <w:szCs w:val="20"/>
        </w:rPr>
        <w:t>.</w:t>
      </w:r>
      <w:r w:rsidR="00DE522C">
        <w:rPr>
          <w:rFonts w:ascii="Arial" w:hAnsi="Arial" w:cs="Arial"/>
          <w:b/>
          <w:bCs/>
          <w:sz w:val="20"/>
          <w:szCs w:val="20"/>
        </w:rPr>
        <w:t>07</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11F635DA" w:rsidR="00045065" w:rsidRDefault="00045065" w:rsidP="00045065">
      <w:pPr>
        <w:pStyle w:val="Odsekzoznamu"/>
        <w:jc w:val="both"/>
      </w:pPr>
      <w:bookmarkStart w:id="46" w:name="_Hlk105979049"/>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w:t>
      </w:r>
      <w:r w:rsidRPr="004A76D7">
        <w:rPr>
          <w:rFonts w:ascii="Arial" w:hAnsi="Arial" w:cs="Arial"/>
          <w:sz w:val="20"/>
          <w:szCs w:val="20"/>
        </w:rPr>
        <w:lastRenderedPageBreak/>
        <w:t xml:space="preserve">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6B80" w14:textId="77777777" w:rsidR="001C6303" w:rsidRDefault="001C6303">
      <w:r>
        <w:separator/>
      </w:r>
    </w:p>
  </w:endnote>
  <w:endnote w:type="continuationSeparator" w:id="0">
    <w:p w14:paraId="62E013ED" w14:textId="77777777" w:rsidR="001C6303" w:rsidRDefault="001C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4999" w14:textId="77777777" w:rsidR="001C6303" w:rsidRDefault="001C6303">
      <w:r>
        <w:separator/>
      </w:r>
    </w:p>
  </w:footnote>
  <w:footnote w:type="continuationSeparator" w:id="0">
    <w:p w14:paraId="7E1F502C" w14:textId="77777777" w:rsidR="001C6303" w:rsidRDefault="001C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303"/>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22C"/>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3517</Words>
  <Characters>20051</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23521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2023-06-12T15:02:00Z</dcterms:created>
  <dcterms:modified xsi:type="dcterms:W3CDTF">2023-06-21T20:30:00Z</dcterms:modified>
</cp:coreProperties>
</file>