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0DB4DD41" w14:textId="77777777" w:rsidR="001D54C2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1508D8">
        <w:rPr>
          <w:rFonts w:ascii="Arial Narrow" w:hAnsi="Arial Narrow"/>
          <w:b/>
          <w:sz w:val="28"/>
          <w:szCs w:val="28"/>
        </w:rPr>
        <w:t xml:space="preserve"> </w:t>
      </w:r>
    </w:p>
    <w:p w14:paraId="4BD8B678" w14:textId="25A03242" w:rsidR="004A689E" w:rsidRPr="00983C00" w:rsidRDefault="001508D8" w:rsidP="0091435F">
      <w:pPr>
        <w:spacing w:after="1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  <w:szCs w:val="28"/>
        </w:rPr>
        <w:t xml:space="preserve">č.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937D20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2AAC4763" w:rsidR="002761BF" w:rsidRPr="001D54C2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="Calibri"/>
          <w:b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D54C2">
        <w:rPr>
          <w:rFonts w:ascii="Arial Narrow" w:hAnsi="Arial Narrow" w:cs="Calibri"/>
          <w:b/>
          <w:sz w:val="22"/>
          <w:szCs w:val="22"/>
        </w:rPr>
        <w:t>„</w:t>
      </w:r>
      <w:r w:rsidR="001D54C2" w:rsidRPr="001D54C2">
        <w:rPr>
          <w:rFonts w:ascii="Arial Narrow" w:hAnsi="Arial Narrow" w:cs="Calibri"/>
          <w:b/>
          <w:sz w:val="22"/>
          <w:szCs w:val="22"/>
        </w:rPr>
        <w:t>Tričká dlhý rukáv polypropylén a tričká krátky rukáv polypropylén</w:t>
      </w:r>
      <w:r w:rsidR="001508D8" w:rsidRPr="001D54C2">
        <w:rPr>
          <w:rFonts w:ascii="Arial Narrow" w:hAnsi="Arial Narrow" w:cs="Calibri"/>
          <w:b/>
          <w:sz w:val="22"/>
          <w:szCs w:val="22"/>
        </w:rPr>
        <w:t>“.</w:t>
      </w:r>
    </w:p>
    <w:p w14:paraId="2619FD46" w14:textId="73AE7001" w:rsidR="0055755C" w:rsidRPr="00C70BFF" w:rsidRDefault="0055755C" w:rsidP="002A297A">
      <w:pPr>
        <w:pStyle w:val="CTL"/>
        <w:numPr>
          <w:ilvl w:val="1"/>
          <w:numId w:val="51"/>
        </w:numPr>
        <w:spacing w:after="240" w:line="24" w:lineRule="atLeast"/>
        <w:ind w:left="426" w:hanging="426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062B7B73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VI.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15F64C62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1D54C2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1D54C2">
        <w:rPr>
          <w:rFonts w:ascii="Arial Narrow" w:hAnsi="Arial Narrow" w:cs="Calibri"/>
          <w:sz w:val="22"/>
          <w:szCs w:val="22"/>
        </w:rPr>
        <w:t xml:space="preserve"> </w:t>
      </w:r>
      <w:r w:rsidRPr="001D54C2">
        <w:rPr>
          <w:rFonts w:ascii="Arial Narrow" w:hAnsi="Arial Narrow" w:cs="Calibri"/>
          <w:sz w:val="22"/>
          <w:szCs w:val="22"/>
        </w:rPr>
        <w:t>Kupujúcemu</w:t>
      </w:r>
      <w:r w:rsidR="004C286C" w:rsidRPr="001D54C2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1D54C2">
        <w:rPr>
          <w:rFonts w:ascii="Arial Narrow" w:hAnsi="Arial Narrow" w:cs="Calibri"/>
          <w:sz w:val="22"/>
          <w:szCs w:val="22"/>
        </w:rPr>
        <w:t>3 mesiacov od</w:t>
      </w:r>
      <w:r w:rsidR="001D54C2" w:rsidRPr="001D54C2">
        <w:rPr>
          <w:rFonts w:ascii="Arial Narrow" w:hAnsi="Arial Narrow" w:cs="Calibri"/>
          <w:sz w:val="22"/>
          <w:szCs w:val="22"/>
        </w:rPr>
        <w:t xml:space="preserve"> nadobudnutia účinnosti kúpnej zmluvy</w:t>
      </w:r>
      <w:r w:rsidR="001D54C2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6123E90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39AF9D97" w14:textId="77777777" w:rsidR="0055172A" w:rsidRPr="004D27AE" w:rsidRDefault="0055172A" w:rsidP="003848BF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0810B948" w14:textId="77777777" w:rsidR="001D54C2" w:rsidRDefault="001D54C2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1783AB2" w14:textId="77777777" w:rsidR="001D54C2" w:rsidRDefault="001D54C2" w:rsidP="00FC2417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4CD25B73" w14:textId="50BA2DB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54423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55755C" w:rsidRPr="00C70BFF">
        <w:rPr>
          <w:rFonts w:ascii="Arial Narrow" w:hAnsi="Arial Narrow"/>
          <w:sz w:val="22"/>
          <w:szCs w:val="22"/>
        </w:rPr>
        <w:t>zmluvy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C2182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02307D">
        <w:rPr>
          <w:rFonts w:ascii="Arial Narrow" w:hAnsi="Arial Narrow"/>
          <w:sz w:val="22"/>
          <w:szCs w:val="22"/>
        </w:rPr>
        <w:t>24 mesiacov</w:t>
      </w:r>
      <w:r w:rsidR="0055755C" w:rsidRPr="0002307D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76E41575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7E29D650" w:rsidR="00622DC5" w:rsidRPr="001D54C2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7871AA2F" w14:textId="77777777" w:rsidR="001D54C2" w:rsidRPr="00732535" w:rsidRDefault="001D54C2" w:rsidP="001D54C2">
      <w:pPr>
        <w:pStyle w:val="CTL"/>
        <w:numPr>
          <w:ilvl w:val="1"/>
          <w:numId w:val="5"/>
        </w:numPr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Predávajúci je povinný strpieť výkon kontroly/auditu/overovania súvisiaceho s plnením tejto zmluvy a poskytnúť všetku potrebnú súčinnosť pri výkone kontroly/auditu/overovania oprávneným osobám, ktorými sú najmä :</w:t>
      </w:r>
    </w:p>
    <w:p w14:paraId="3B9ABDE6" w14:textId="77777777" w:rsidR="001D54C2" w:rsidRPr="00732535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Zodpovedného orgánu,</w:t>
      </w:r>
    </w:p>
    <w:p w14:paraId="3A73F11A" w14:textId="77777777" w:rsidR="001D54C2" w:rsidRPr="00732535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Orgánu auditu,</w:t>
      </w:r>
    </w:p>
    <w:p w14:paraId="0CF55667" w14:textId="77777777" w:rsidR="001D54C2" w:rsidRPr="00732535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Najvyššieho kontrolného úradu Slovenskej republiky,</w:t>
      </w:r>
    </w:p>
    <w:p w14:paraId="3B006CBC" w14:textId="77777777" w:rsidR="001D54C2" w:rsidRPr="00732535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poverení zamestnanci Úradu pre verejné obstarávanie,</w:t>
      </w:r>
    </w:p>
    <w:p w14:paraId="1A582E6F" w14:textId="77777777" w:rsidR="001D54C2" w:rsidRPr="00732535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 xml:space="preserve">riadne splnomocnení zástupcovia Európskej komisie, Európskeho úradu na boj proti podvodov a Európskeho dvora </w:t>
      </w:r>
      <w:proofErr w:type="spellStart"/>
      <w:r w:rsidRPr="00732535">
        <w:rPr>
          <w:rFonts w:ascii="Arial Narrow" w:hAnsi="Arial Narrow" w:cs="Calibri"/>
          <w:sz w:val="22"/>
          <w:szCs w:val="22"/>
        </w:rPr>
        <w:t>auditorov</w:t>
      </w:r>
      <w:proofErr w:type="spellEnd"/>
      <w:r w:rsidRPr="00732535">
        <w:rPr>
          <w:rFonts w:ascii="Arial Narrow" w:hAnsi="Arial Narrow" w:cs="Calibri"/>
          <w:sz w:val="22"/>
          <w:szCs w:val="22"/>
        </w:rPr>
        <w:t>,</w:t>
      </w:r>
    </w:p>
    <w:p w14:paraId="260FB08D" w14:textId="730B22C0" w:rsidR="001D54C2" w:rsidRPr="001D54C2" w:rsidRDefault="001D54C2" w:rsidP="001D54C2">
      <w:pPr>
        <w:pStyle w:val="CTL"/>
        <w:numPr>
          <w:ilvl w:val="3"/>
          <w:numId w:val="65"/>
        </w:numPr>
        <w:spacing w:after="60" w:line="24" w:lineRule="atLeast"/>
        <w:ind w:left="1418" w:hanging="425"/>
        <w:rPr>
          <w:rFonts w:ascii="Arial Narrow" w:hAnsi="Arial Narrow" w:cs="Calibri"/>
          <w:sz w:val="22"/>
          <w:szCs w:val="22"/>
        </w:rPr>
      </w:pPr>
      <w:r w:rsidRPr="00732535">
        <w:rPr>
          <w:rFonts w:ascii="Arial Narrow" w:hAnsi="Arial Narrow" w:cs="Calibri"/>
          <w:sz w:val="22"/>
          <w:szCs w:val="22"/>
        </w:rPr>
        <w:t>osoby prizvané kontrolnými orgánmi uvedenými v písm. a) až e) tohto bodu v súlade s príslušnými právnymi predpismi SR a E</w:t>
      </w:r>
      <w:r>
        <w:rPr>
          <w:rFonts w:ascii="Arial Narrow" w:hAnsi="Arial Narrow" w:cs="Calibri"/>
          <w:sz w:val="22"/>
          <w:szCs w:val="22"/>
        </w:rPr>
        <w:t>Ú</w:t>
      </w:r>
      <w:r w:rsidRPr="00732535">
        <w:rPr>
          <w:rFonts w:ascii="Arial Narrow" w:hAnsi="Arial Narrow" w:cs="Calibri"/>
          <w:sz w:val="22"/>
          <w:szCs w:val="22"/>
        </w:rPr>
        <w:t>.</w:t>
      </w:r>
    </w:p>
    <w:p w14:paraId="53836646" w14:textId="60ABA944" w:rsidR="00357D06" w:rsidRPr="00B02C77" w:rsidRDefault="00357D06" w:rsidP="001508D8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40B3759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proofErr w:type="spellStart"/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>edávajúceho</w:t>
      </w:r>
      <w:proofErr w:type="spellEnd"/>
      <w:r w:rsidRPr="00C70BFF">
        <w:rPr>
          <w:rFonts w:ascii="Arial Narrow" w:hAnsi="Arial Narrow"/>
          <w:sz w:val="22"/>
        </w:rPr>
        <w:t xml:space="preserve">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proofErr w:type="spellStart"/>
      <w:r w:rsidR="00CE13E9" w:rsidRPr="00C70BFF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55172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 xml:space="preserve">upujúceho na prípadnú náhradu škody, ktorá vznikla v príčinnej súvislosti s porušením zmluvnej povinnosti, za ktorú je </w:t>
      </w:r>
      <w:r w:rsidR="006056F6" w:rsidRPr="004D27AE">
        <w:rPr>
          <w:rFonts w:ascii="Arial Narrow" w:hAnsi="Arial Narrow"/>
          <w:sz w:val="22"/>
        </w:rPr>
        <w:lastRenderedPageBreak/>
        <w:t>uplatňovaná zmluvná pokuta.</w:t>
      </w:r>
    </w:p>
    <w:p w14:paraId="7B2BD025" w14:textId="263C50A3" w:rsidR="00613A8C" w:rsidRDefault="0055755C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C16612E" w14:textId="3C433812" w:rsidR="00233DAA" w:rsidRPr="006724C9" w:rsidRDefault="00233DAA" w:rsidP="006724C9">
      <w:pPr>
        <w:tabs>
          <w:tab w:val="clear" w:pos="2160"/>
          <w:tab w:val="clear" w:pos="2880"/>
          <w:tab w:val="clear" w:pos="4500"/>
        </w:tabs>
        <w:spacing w:after="120" w:line="24" w:lineRule="atLeast"/>
        <w:jc w:val="both"/>
        <w:rPr>
          <w:rFonts w:ascii="Arial Narrow" w:hAnsi="Arial Narrow"/>
          <w:sz w:val="22"/>
        </w:rPr>
      </w:pPr>
    </w:p>
    <w:p w14:paraId="5598B5EC" w14:textId="204ABF8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DD6996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45BE76DB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0B936D9B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CBD48B" w14:textId="7ECFFDEC" w:rsidR="001D54C2" w:rsidRPr="00150A3F" w:rsidRDefault="001D54C2" w:rsidP="001D54C2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jc w:val="both"/>
        <w:rPr>
          <w:rFonts w:ascii="Arial Narrow" w:hAnsi="Arial Narrow"/>
          <w:i/>
          <w:iCs/>
          <w:color w:val="FF0000"/>
          <w:lang w:eastAsia="en-US"/>
        </w:rPr>
      </w:pPr>
      <w:r w:rsidRPr="00150A3F">
        <w:rPr>
          <w:rFonts w:ascii="Arial Narrow" w:hAnsi="Arial Narrow"/>
          <w:sz w:val="22"/>
        </w:rPr>
        <w:t>Táto zmluva nadobúda platnosť  dňom jej podp</w:t>
      </w:r>
      <w:r w:rsidR="00A951C6">
        <w:rPr>
          <w:rFonts w:ascii="Arial Narrow" w:hAnsi="Arial Narrow"/>
          <w:sz w:val="22"/>
        </w:rPr>
        <w:t xml:space="preserve">isu obidvoma zmluvnými stranami a </w:t>
      </w:r>
      <w:r w:rsidRPr="00150A3F">
        <w:rPr>
          <w:rFonts w:ascii="Arial Narrow" w:hAnsi="Arial Narrow"/>
          <w:sz w:val="22"/>
        </w:rPr>
        <w:t>nadobudne 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  <w:bookmarkStart w:id="0" w:name="_GoBack"/>
      <w:bookmarkEnd w:id="0"/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81C03B7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5C7578D" w14:textId="20DFD7B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663E4D2" w14:textId="02743942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C548DB" w14:textId="356B91E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AC8A60D" w14:textId="34843C0F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000E151" w14:textId="48C54A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53C0E7F5" w14:textId="43E9993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3A8582D" w14:textId="25C7C77B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C3C6DAE" w14:textId="35A61551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F8C9367" w14:textId="50936DED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2ECF6DD" w14:textId="2AE59B64" w:rsidR="006724C9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5870A45" w14:textId="77777777" w:rsidR="006724C9" w:rsidRPr="00AD32D1" w:rsidRDefault="006724C9" w:rsidP="006724C9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9A6621B" w14:textId="3A24184F" w:rsidR="00386FA2" w:rsidRPr="003848BF" w:rsidRDefault="00386FA2" w:rsidP="003848BF">
      <w:pPr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4A72F0" w14:textId="053B43E4" w:rsidR="00336D81" w:rsidRDefault="00336D81" w:rsidP="00336D8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9C405" w14:textId="77777777" w:rsidR="0046549C" w:rsidRDefault="0046549C" w:rsidP="00983CE3">
      <w:r>
        <w:separator/>
      </w:r>
    </w:p>
  </w:endnote>
  <w:endnote w:type="continuationSeparator" w:id="0">
    <w:p w14:paraId="2E5728D9" w14:textId="77777777" w:rsidR="0046549C" w:rsidRDefault="0046549C" w:rsidP="00983CE3">
      <w:r>
        <w:continuationSeparator/>
      </w:r>
    </w:p>
  </w:endnote>
  <w:endnote w:type="continuationNotice" w:id="1">
    <w:p w14:paraId="487272D4" w14:textId="77777777" w:rsidR="0046549C" w:rsidRDefault="004654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7EAD9BCB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A951C6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FC1E" w14:textId="77777777" w:rsidR="0046549C" w:rsidRDefault="0046549C" w:rsidP="00983CE3">
      <w:r>
        <w:separator/>
      </w:r>
    </w:p>
  </w:footnote>
  <w:footnote w:type="continuationSeparator" w:id="0">
    <w:p w14:paraId="6B5024E0" w14:textId="77777777" w:rsidR="0046549C" w:rsidRDefault="0046549C" w:rsidP="00983CE3">
      <w:r>
        <w:continuationSeparator/>
      </w:r>
    </w:p>
  </w:footnote>
  <w:footnote w:type="continuationNotice" w:id="1">
    <w:p w14:paraId="29AFD792" w14:textId="77777777" w:rsidR="0046549C" w:rsidRDefault="0046549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46549C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46549C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BD21DC"/>
    <w:multiLevelType w:val="multilevel"/>
    <w:tmpl w:val="9BEE8FF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4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9"/>
  </w:num>
  <w:num w:numId="5">
    <w:abstractNumId w:val="50"/>
  </w:num>
  <w:num w:numId="6">
    <w:abstractNumId w:val="16"/>
  </w:num>
  <w:num w:numId="7">
    <w:abstractNumId w:val="28"/>
  </w:num>
  <w:num w:numId="8">
    <w:abstractNumId w:val="44"/>
  </w:num>
  <w:num w:numId="9">
    <w:abstractNumId w:val="47"/>
  </w:num>
  <w:num w:numId="10">
    <w:abstractNumId w:val="29"/>
  </w:num>
  <w:num w:numId="11">
    <w:abstractNumId w:val="21"/>
  </w:num>
  <w:num w:numId="12">
    <w:abstractNumId w:val="14"/>
  </w:num>
  <w:num w:numId="13">
    <w:abstractNumId w:val="18"/>
  </w:num>
  <w:num w:numId="14">
    <w:abstractNumId w:val="32"/>
  </w:num>
  <w:num w:numId="15">
    <w:abstractNumId w:val="20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5"/>
  </w:num>
  <w:num w:numId="27">
    <w:abstractNumId w:val="48"/>
  </w:num>
  <w:num w:numId="28">
    <w:abstractNumId w:val="52"/>
  </w:num>
  <w:num w:numId="29">
    <w:abstractNumId w:val="37"/>
  </w:num>
  <w:num w:numId="30">
    <w:abstractNumId w:val="36"/>
  </w:num>
  <w:num w:numId="31">
    <w:abstractNumId w:val="27"/>
  </w:num>
  <w:num w:numId="32">
    <w:abstractNumId w:val="34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5"/>
  </w:num>
  <w:num w:numId="45">
    <w:abstractNumId w:val="40"/>
  </w:num>
  <w:num w:numId="46">
    <w:abstractNumId w:val="22"/>
  </w:num>
  <w:num w:numId="47">
    <w:abstractNumId w:val="43"/>
  </w:num>
  <w:num w:numId="48">
    <w:abstractNumId w:val="33"/>
  </w:num>
  <w:num w:numId="49">
    <w:abstractNumId w:val="31"/>
  </w:num>
  <w:num w:numId="50">
    <w:abstractNumId w:val="19"/>
  </w:num>
  <w:num w:numId="51">
    <w:abstractNumId w:val="25"/>
  </w:num>
  <w:num w:numId="52">
    <w:abstractNumId w:val="39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45"/>
  </w:num>
  <w:num w:numId="64">
    <w:abstractNumId w:val="26"/>
  </w:num>
  <w:num w:numId="65">
    <w:abstractNumId w:val="2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307D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54C2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325D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49C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434BF"/>
    <w:rsid w:val="008503DC"/>
    <w:rsid w:val="00851529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8F3B16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51C6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44A2"/>
    <w:rsid w:val="00B15193"/>
    <w:rsid w:val="00B16286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D4EE7DD-227E-487E-885A-822C39D30C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0B71EA-D95A-4148-9731-33E1E535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3153</Words>
  <Characters>17976</Characters>
  <Application>Microsoft Office Word</Application>
  <DocSecurity>0</DocSecurity>
  <Lines>149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Nikola Šimunová</cp:lastModifiedBy>
  <cp:revision>7</cp:revision>
  <cp:lastPrinted>2023-05-29T06:44:00Z</cp:lastPrinted>
  <dcterms:created xsi:type="dcterms:W3CDTF">2023-06-07T12:20:00Z</dcterms:created>
  <dcterms:modified xsi:type="dcterms:W3CDTF">2023-07-03T07:53:00Z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