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353A78">
        <w:t>38</w:t>
      </w:r>
      <w:r w:rsidR="00625319">
        <w:t>/2023</w:t>
      </w:r>
      <w:r w:rsidR="00F67157">
        <w:t xml:space="preserve"> opakovaná</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353A78" w:rsidRPr="0040378E" w:rsidRDefault="00353A78" w:rsidP="00353A78">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Default="00FE6F9B" w:rsidP="00FE6F9B">
      <w:pPr>
        <w:shd w:val="clear" w:color="auto" w:fill="FFFFFF"/>
        <w:spacing w:after="0"/>
        <w:rPr>
          <w:rFonts w:cs="Arial"/>
          <w:color w:val="222222"/>
          <w:szCs w:val="20"/>
        </w:rPr>
      </w:pPr>
    </w:p>
    <w:p w:rsidR="00353A78" w:rsidRDefault="00353A78" w:rsidP="00FE6F9B">
      <w:pPr>
        <w:shd w:val="clear" w:color="auto" w:fill="FFFFFF"/>
        <w:spacing w:after="0"/>
        <w:rPr>
          <w:rFonts w:cs="Arial"/>
          <w:color w:val="222222"/>
          <w:szCs w:val="20"/>
        </w:rPr>
      </w:pPr>
    </w:p>
    <w:p w:rsidR="00353A78" w:rsidRPr="0040378E" w:rsidRDefault="00353A78"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353A78">
        <w:rPr>
          <w:rFonts w:cs="Arial"/>
          <w:b/>
          <w:sz w:val="28"/>
          <w:szCs w:val="28"/>
        </w:rPr>
        <w:t>Podunajsko</w:t>
      </w:r>
      <w:r w:rsidR="00E81D14">
        <w:rPr>
          <w:rFonts w:cs="Arial"/>
          <w:b/>
          <w:sz w:val="28"/>
          <w:szCs w:val="28"/>
        </w:rPr>
        <w:t>,</w:t>
      </w:r>
      <w:r w:rsidR="0001489F" w:rsidRPr="0001489F">
        <w:rPr>
          <w:rFonts w:cs="Arial"/>
          <w:b/>
          <w:sz w:val="28"/>
          <w:szCs w:val="28"/>
        </w:rPr>
        <w:t xml:space="preserve"> </w:t>
      </w:r>
      <w:r w:rsidR="00EF65FD">
        <w:rPr>
          <w:rFonts w:cs="Arial"/>
          <w:b/>
          <w:sz w:val="28"/>
          <w:szCs w:val="28"/>
        </w:rPr>
        <w:t>L</w:t>
      </w:r>
      <w:r w:rsidR="00353A78">
        <w:rPr>
          <w:rFonts w:cs="Arial"/>
          <w:b/>
          <w:sz w:val="28"/>
          <w:szCs w:val="28"/>
        </w:rPr>
        <w:t>S</w:t>
      </w:r>
      <w:r w:rsidR="00F96B3A">
        <w:rPr>
          <w:rFonts w:cs="Arial"/>
          <w:b/>
          <w:sz w:val="28"/>
          <w:szCs w:val="28"/>
        </w:rPr>
        <w:t xml:space="preserve"> </w:t>
      </w:r>
      <w:r w:rsidR="00353A78">
        <w:rPr>
          <w:rFonts w:cs="Arial"/>
          <w:b/>
          <w:sz w:val="28"/>
          <w:szCs w:val="28"/>
        </w:rPr>
        <w:t>Čifáre</w:t>
      </w:r>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353A78">
        <w:rPr>
          <w:rFonts w:ascii="Arial" w:hAnsi="Arial" w:cs="Arial"/>
          <w:b/>
          <w:sz w:val="20"/>
          <w:lang w:val="sk-SK"/>
        </w:rPr>
        <w:t>Podunajsko</w:t>
      </w:r>
      <w:r w:rsidR="0001489F" w:rsidRPr="0001489F">
        <w:rPr>
          <w:rFonts w:ascii="Arial" w:hAnsi="Arial" w:cs="Arial"/>
          <w:b/>
          <w:sz w:val="20"/>
          <w:lang w:val="sk-SK"/>
        </w:rPr>
        <w:t xml:space="preserve">,  </w:t>
      </w:r>
      <w:r w:rsidR="00353A78">
        <w:rPr>
          <w:rFonts w:ascii="Arial" w:hAnsi="Arial" w:cs="Arial"/>
          <w:b/>
          <w:sz w:val="20"/>
          <w:lang w:val="sk-SK"/>
        </w:rPr>
        <w:t>LS Čifáre</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2836D5">
        <w:rPr>
          <w:rFonts w:ascii="Arial" w:hAnsi="Arial" w:cs="Arial"/>
          <w:b/>
          <w:sz w:val="20"/>
          <w:lang w:val="sk-SK"/>
        </w:rPr>
        <w:t>30.9.</w:t>
      </w:r>
      <w:bookmarkStart w:id="0" w:name="_GoBack"/>
      <w:bookmarkEnd w:id="0"/>
      <w:r w:rsidR="00275FBE">
        <w:rPr>
          <w:rFonts w:ascii="Arial" w:hAnsi="Arial" w:cs="Arial"/>
          <w:b/>
          <w:sz w:val="20"/>
          <w:lang w:val="sk-SK"/>
        </w:rPr>
        <w:t>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Ukončenie zmluvy môže nastať:</w:t>
      </w:r>
      <w:r w:rsidR="00844051">
        <w:rPr>
          <w:rFonts w:ascii="Arial" w:hAnsi="Arial" w:cs="Arial"/>
          <w:sz w:val="20"/>
          <w:lang w:val="sk-SK"/>
        </w:rPr>
        <w:t xml:space="preserve"> písomnou dohodou objednávateľa</w:t>
      </w:r>
      <w:r w:rsidRPr="0040378E">
        <w:rPr>
          <w:rFonts w:ascii="Arial" w:hAnsi="Arial" w:cs="Arial"/>
          <w:sz w:val="20"/>
          <w:lang w:val="sk-SK"/>
        </w:rPr>
        <w:t xml:space="preserve">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EB5" w:rsidRDefault="00FE1EB5" w:rsidP="00FE6F9B">
      <w:pPr>
        <w:spacing w:after="0"/>
      </w:pPr>
      <w:r>
        <w:separator/>
      </w:r>
    </w:p>
  </w:endnote>
  <w:endnote w:type="continuationSeparator" w:id="0">
    <w:p w:rsidR="00FE1EB5" w:rsidRDefault="00FE1EB5"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EB5" w:rsidRDefault="00FE1EB5" w:rsidP="00FE6F9B">
      <w:pPr>
        <w:spacing w:after="0"/>
      </w:pPr>
      <w:r>
        <w:separator/>
      </w:r>
    </w:p>
  </w:footnote>
  <w:footnote w:type="continuationSeparator" w:id="0">
    <w:p w:rsidR="00FE1EB5" w:rsidRDefault="00FE1EB5"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0A64C7" w:rsidTr="00FB4237">
      <w:tc>
        <w:tcPr>
          <w:tcW w:w="1271" w:type="dxa"/>
        </w:tcPr>
        <w:p w:rsidR="000A64C7" w:rsidRDefault="000A64C7"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0A64C7" w:rsidRDefault="000A64C7"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0A64C7" w:rsidRPr="007C3D49" w:rsidRDefault="000A64C7" w:rsidP="00FE6F9B">
          <w:pPr>
            <w:pStyle w:val="Nadpis4"/>
            <w:tabs>
              <w:tab w:val="clear" w:pos="576"/>
            </w:tabs>
            <w:outlineLvl w:val="3"/>
            <w:rPr>
              <w:color w:val="005941"/>
              <w:sz w:val="24"/>
            </w:rPr>
          </w:pPr>
          <w:r w:rsidRPr="007C3D49">
            <w:rPr>
              <w:color w:val="005941"/>
              <w:sz w:val="24"/>
            </w:rPr>
            <w:t>generálne riaditeľstvo</w:t>
          </w:r>
        </w:p>
        <w:p w:rsidR="000A64C7" w:rsidRDefault="000A64C7" w:rsidP="00FE6F9B">
          <w:pPr>
            <w:pStyle w:val="Nadpis4"/>
            <w:tabs>
              <w:tab w:val="clear" w:pos="576"/>
            </w:tabs>
            <w:outlineLvl w:val="3"/>
          </w:pPr>
          <w:r w:rsidRPr="007C3D49">
            <w:rPr>
              <w:color w:val="005941"/>
              <w:sz w:val="24"/>
            </w:rPr>
            <w:t>Námestie SNP 8, 975 66 Banská Bystrica</w:t>
          </w:r>
        </w:p>
      </w:tc>
    </w:tr>
  </w:tbl>
  <w:p w:rsidR="000A64C7" w:rsidRDefault="000A64C7"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0A64C7"/>
    <w:rsid w:val="000D6031"/>
    <w:rsid w:val="00111F6C"/>
    <w:rsid w:val="00197D08"/>
    <w:rsid w:val="001E3EB5"/>
    <w:rsid w:val="00275FBE"/>
    <w:rsid w:val="002836D5"/>
    <w:rsid w:val="002B4A15"/>
    <w:rsid w:val="00340F3E"/>
    <w:rsid w:val="003442D2"/>
    <w:rsid w:val="00353A78"/>
    <w:rsid w:val="00377FBA"/>
    <w:rsid w:val="003B50C8"/>
    <w:rsid w:val="003C053E"/>
    <w:rsid w:val="003F2A64"/>
    <w:rsid w:val="003F3F66"/>
    <w:rsid w:val="00480F4B"/>
    <w:rsid w:val="00490251"/>
    <w:rsid w:val="005803C1"/>
    <w:rsid w:val="00586079"/>
    <w:rsid w:val="00593A36"/>
    <w:rsid w:val="00625319"/>
    <w:rsid w:val="00662A20"/>
    <w:rsid w:val="00712059"/>
    <w:rsid w:val="00735A3A"/>
    <w:rsid w:val="007950E0"/>
    <w:rsid w:val="007A4254"/>
    <w:rsid w:val="00810AB2"/>
    <w:rsid w:val="00844051"/>
    <w:rsid w:val="008D4942"/>
    <w:rsid w:val="008E5665"/>
    <w:rsid w:val="009064B3"/>
    <w:rsid w:val="00923B86"/>
    <w:rsid w:val="00944F55"/>
    <w:rsid w:val="009455B9"/>
    <w:rsid w:val="009A10CA"/>
    <w:rsid w:val="009A3DE3"/>
    <w:rsid w:val="009B6910"/>
    <w:rsid w:val="00A2410C"/>
    <w:rsid w:val="00B42BDC"/>
    <w:rsid w:val="00BB4628"/>
    <w:rsid w:val="00BC0AE8"/>
    <w:rsid w:val="00BE6E44"/>
    <w:rsid w:val="00C603A2"/>
    <w:rsid w:val="00C60EC8"/>
    <w:rsid w:val="00C772A5"/>
    <w:rsid w:val="00D018CC"/>
    <w:rsid w:val="00D1452A"/>
    <w:rsid w:val="00D21C84"/>
    <w:rsid w:val="00D40F3F"/>
    <w:rsid w:val="00DB1C44"/>
    <w:rsid w:val="00DD7D83"/>
    <w:rsid w:val="00E73588"/>
    <w:rsid w:val="00E81D14"/>
    <w:rsid w:val="00EB58CA"/>
    <w:rsid w:val="00ED3A56"/>
    <w:rsid w:val="00EF65FD"/>
    <w:rsid w:val="00EF7837"/>
    <w:rsid w:val="00F07C7E"/>
    <w:rsid w:val="00F67157"/>
    <w:rsid w:val="00F96B3A"/>
    <w:rsid w:val="00FB4237"/>
    <w:rsid w:val="00FE1EB5"/>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B9F6B"/>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5612</Words>
  <Characters>31990</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3</cp:revision>
  <cp:lastPrinted>2023-03-09T11:41:00Z</cp:lastPrinted>
  <dcterms:created xsi:type="dcterms:W3CDTF">2023-07-03T07:53:00Z</dcterms:created>
  <dcterms:modified xsi:type="dcterms:W3CDTF">2023-07-03T08:18:00Z</dcterms:modified>
</cp:coreProperties>
</file>