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C5" w:rsidRDefault="00CD61C5"/>
    <w:p w:rsidR="00576A94" w:rsidRDefault="00576A94"/>
    <w:p w:rsidR="000F396F" w:rsidRDefault="00576A94" w:rsidP="000F396F">
      <w:pPr>
        <w:jc w:val="center"/>
        <w:rPr>
          <w:sz w:val="22"/>
          <w:szCs w:val="22"/>
        </w:rPr>
      </w:pPr>
      <w:r w:rsidRPr="008B69B0">
        <w:rPr>
          <w:sz w:val="24"/>
          <w:szCs w:val="24"/>
        </w:rPr>
        <w:t xml:space="preserve">Cenová ponuka - </w:t>
      </w:r>
      <w:bookmarkStart w:id="0" w:name="_GoBack"/>
      <w:r w:rsidR="000F396F" w:rsidRPr="00FA3C72">
        <w:rPr>
          <w:sz w:val="22"/>
          <w:szCs w:val="22"/>
        </w:rPr>
        <w:t>Balená prírodná voda v </w:t>
      </w:r>
      <w:bookmarkEnd w:id="0"/>
    </w:p>
    <w:p w:rsidR="00576A94" w:rsidRDefault="000F396F" w:rsidP="000F396F">
      <w:pPr>
        <w:jc w:val="center"/>
      </w:pPr>
      <w:r w:rsidRPr="00FA3C72">
        <w:rPr>
          <w:sz w:val="22"/>
          <w:szCs w:val="22"/>
        </w:rPr>
        <w:t>18,9 l galónoch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so súvisiacimi službami</w:t>
      </w:r>
      <w:r>
        <w:rPr>
          <w:sz w:val="22"/>
          <w:szCs w:val="22"/>
        </w:rPr>
        <w:t xml:space="preserve"> – Útvary MV SR </w:t>
      </w:r>
    </w:p>
    <w:p w:rsidR="00576A94" w:rsidRDefault="00576A94"/>
    <w:tbl>
      <w:tblPr>
        <w:tblW w:w="126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5"/>
        <w:gridCol w:w="1258"/>
        <w:gridCol w:w="963"/>
        <w:gridCol w:w="1606"/>
        <w:gridCol w:w="1606"/>
        <w:gridCol w:w="1276"/>
        <w:gridCol w:w="1984"/>
        <w:gridCol w:w="2552"/>
      </w:tblGrid>
      <w:tr w:rsidR="00EE0215" w:rsidRPr="00FA3C72" w:rsidTr="00EE0215">
        <w:trPr>
          <w:trHeight w:val="1617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EE0215" w:rsidRPr="0063695C" w:rsidRDefault="00EE0215" w:rsidP="009838B7">
            <w:pPr>
              <w:jc w:val="center"/>
            </w:pPr>
            <w:r w:rsidRPr="0063695C">
              <w:t>Poradové číslo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E0215" w:rsidRPr="0063695C" w:rsidRDefault="00EE0215" w:rsidP="009838B7">
            <w:pPr>
              <w:jc w:val="center"/>
            </w:pPr>
            <w:r>
              <w:t>Š</w:t>
            </w:r>
            <w:r w:rsidRPr="0063695C">
              <w:t>pecifikácia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E0215" w:rsidRPr="0063695C" w:rsidRDefault="00EE0215" w:rsidP="009838B7">
            <w:pPr>
              <w:jc w:val="center"/>
            </w:pPr>
            <w:r>
              <w:t>M</w:t>
            </w:r>
            <w:r w:rsidRPr="0063695C">
              <w:t>erná jednotka</w:t>
            </w:r>
          </w:p>
        </w:tc>
        <w:tc>
          <w:tcPr>
            <w:tcW w:w="1606" w:type="dxa"/>
          </w:tcPr>
          <w:p w:rsidR="00EE0215" w:rsidRDefault="00EE0215" w:rsidP="00EE0215">
            <w:pPr>
              <w:jc w:val="center"/>
            </w:pPr>
          </w:p>
          <w:p w:rsidR="00EE0215" w:rsidRDefault="00EE0215" w:rsidP="00EE0215">
            <w:pPr>
              <w:jc w:val="center"/>
            </w:pPr>
          </w:p>
          <w:p w:rsidR="00EE0215" w:rsidRPr="0063695C" w:rsidRDefault="00EE0215" w:rsidP="00EE0215">
            <w:pPr>
              <w:jc w:val="center"/>
            </w:pPr>
            <w:r>
              <w:t>P</w:t>
            </w:r>
            <w:r w:rsidRPr="0063695C">
              <w:t>redpokladané množstvo</w:t>
            </w:r>
          </w:p>
          <w:p w:rsidR="00EE0215" w:rsidRDefault="00EE0215" w:rsidP="00EE0215">
            <w:pPr>
              <w:jc w:val="center"/>
            </w:pPr>
            <w:r w:rsidRPr="0063695C">
              <w:t>[ ks ]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E0215" w:rsidRPr="0063695C" w:rsidRDefault="00EE0215" w:rsidP="009838B7">
            <w:pPr>
              <w:jc w:val="center"/>
            </w:pPr>
            <w:r>
              <w:t>C</w:t>
            </w:r>
            <w:r w:rsidRPr="0063695C">
              <w:t>ena za 1 ks</w:t>
            </w:r>
          </w:p>
          <w:p w:rsidR="00EE0215" w:rsidRPr="0063695C" w:rsidRDefault="00EE0215" w:rsidP="009838B7">
            <w:pPr>
              <w:jc w:val="center"/>
            </w:pPr>
            <w:r w:rsidRPr="0063695C">
              <w:t>bez DPH</w:t>
            </w:r>
          </w:p>
          <w:p w:rsidR="00EE0215" w:rsidRPr="0063695C" w:rsidRDefault="00EE0215" w:rsidP="009838B7">
            <w:pPr>
              <w:jc w:val="center"/>
            </w:pPr>
          </w:p>
        </w:tc>
        <w:tc>
          <w:tcPr>
            <w:tcW w:w="1276" w:type="dxa"/>
          </w:tcPr>
          <w:p w:rsidR="00EE0215" w:rsidRPr="0063695C" w:rsidRDefault="00EE0215" w:rsidP="009838B7">
            <w:pPr>
              <w:tabs>
                <w:tab w:val="center" w:pos="497"/>
              </w:tabs>
              <w:jc w:val="center"/>
            </w:pPr>
          </w:p>
          <w:p w:rsidR="00EE0215" w:rsidRDefault="00EE0215" w:rsidP="009838B7">
            <w:pPr>
              <w:tabs>
                <w:tab w:val="center" w:pos="497"/>
              </w:tabs>
              <w:jc w:val="center"/>
            </w:pPr>
          </w:p>
          <w:p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Cena za 1 ks</w:t>
            </w:r>
          </w:p>
          <w:p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s DPH</w:t>
            </w:r>
          </w:p>
          <w:p w:rsidR="00EE0215" w:rsidRPr="0063695C" w:rsidRDefault="00EE0215" w:rsidP="009838B7">
            <w:pPr>
              <w:tabs>
                <w:tab w:val="center" w:pos="497"/>
              </w:tabs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>
              <w:t>C</w:t>
            </w:r>
            <w:r w:rsidRPr="0063695C">
              <w:t>ena spolu</w:t>
            </w:r>
          </w:p>
          <w:p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za predpokladané množstvo bez DPH</w:t>
            </w:r>
          </w:p>
          <w:p w:rsidR="00EE0215" w:rsidRPr="0063695C" w:rsidRDefault="00EE0215" w:rsidP="009838B7">
            <w:pPr>
              <w:jc w:val="center"/>
            </w:pPr>
            <w:r w:rsidRPr="0063695C">
              <w:t>[ v € ]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215" w:rsidRPr="0063695C" w:rsidRDefault="00EE0215" w:rsidP="009838B7">
            <w:pPr>
              <w:jc w:val="center"/>
            </w:pPr>
            <w:r>
              <w:t>C</w:t>
            </w:r>
            <w:r w:rsidRPr="0063695C">
              <w:t>ena spolu</w:t>
            </w:r>
          </w:p>
          <w:p w:rsidR="00EE0215" w:rsidRPr="0063695C" w:rsidRDefault="00EE0215" w:rsidP="009838B7">
            <w:pPr>
              <w:jc w:val="center"/>
            </w:pPr>
            <w:r w:rsidRPr="0063695C">
              <w:t>za predpokladané množstvo s DPH</w:t>
            </w:r>
          </w:p>
          <w:p w:rsidR="00EE0215" w:rsidRPr="0063695C" w:rsidRDefault="00EE0215" w:rsidP="009838B7">
            <w:pPr>
              <w:jc w:val="center"/>
            </w:pPr>
            <w:r w:rsidRPr="0063695C">
              <w:t>[ v € ]</w:t>
            </w:r>
          </w:p>
        </w:tc>
      </w:tr>
      <w:tr w:rsidR="00EE0215" w:rsidRPr="00FA3C72" w:rsidTr="00EE0215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E0215" w:rsidRDefault="00EE0215" w:rsidP="00EE0215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Balená prírodná voda v </w:t>
            </w:r>
          </w:p>
          <w:p w:rsidR="00EE0215" w:rsidRPr="00FA3C72" w:rsidRDefault="00EE0215" w:rsidP="00EE0215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18,9 l galónoch</w:t>
            </w:r>
          </w:p>
          <w:p w:rsidR="00EE0215" w:rsidRPr="00FA3C72" w:rsidRDefault="00EE0215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súvisiacimi službami*</w:t>
            </w:r>
          </w:p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606" w:type="dxa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 ks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6A94" w:rsidRDefault="00576A94"/>
    <w:p w:rsidR="009838B7" w:rsidRPr="008B69B0" w:rsidRDefault="009838B7" w:rsidP="008B69B0">
      <w:r w:rsidRPr="008B69B0">
        <w:t xml:space="preserve">Súvisiacimi službami sa rozumie: </w:t>
      </w:r>
      <w:r w:rsidR="006D54CF">
        <w:t xml:space="preserve">prenájom </w:t>
      </w:r>
      <w:proofErr w:type="spellStart"/>
      <w:r w:rsidR="006D54CF">
        <w:t>výdajníka</w:t>
      </w:r>
      <w:proofErr w:type="spellEnd"/>
      <w:r w:rsidR="006D54CF">
        <w:t xml:space="preserve">, sanitácia </w:t>
      </w:r>
      <w:proofErr w:type="spellStart"/>
      <w:r w:rsidR="006D54CF">
        <w:t>výdajníka</w:t>
      </w:r>
      <w:proofErr w:type="spellEnd"/>
      <w:r w:rsidR="008B69B0" w:rsidRPr="008B69B0">
        <w:t>, záloha na obal,</w:t>
      </w:r>
      <w:r w:rsidR="000F396F">
        <w:t xml:space="preserve"> doprava, manipulácia s tovarom a pod. </w:t>
      </w:r>
    </w:p>
    <w:p w:rsidR="009838B7" w:rsidRDefault="009838B7"/>
    <w:p w:rsidR="00576A94" w:rsidRDefault="00576A94" w:rsidP="00576A94"/>
    <w:p w:rsidR="00576A94" w:rsidRPr="006F1128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</w:p>
    <w:p w:rsidR="00576A94" w:rsidRPr="006F1128" w:rsidRDefault="000F396F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</w:t>
      </w:r>
      <w:r w:rsidR="001C47F5">
        <w:rPr>
          <w:rFonts w:ascii="Times New Roman" w:hAnsi="Times New Roman"/>
          <w:sz w:val="24"/>
          <w:szCs w:val="24"/>
        </w:rPr>
        <w:t xml:space="preserve"> </w:t>
      </w:r>
      <w:r w:rsidR="00576A94" w:rsidRPr="006F1128">
        <w:rPr>
          <w:rFonts w:ascii="Times New Roman" w:hAnsi="Times New Roman"/>
          <w:sz w:val="24"/>
          <w:szCs w:val="24"/>
        </w:rPr>
        <w:t>musia byť započítané všetky náklady, ktoré môže uchádzač účtovať verejnému obstarávateľovi, t. j. cena musí byť konečná a nie je možné ju navyšovať o dodatočné náklady spojené s</w:t>
      </w:r>
      <w:r>
        <w:rPr>
          <w:rFonts w:ascii="Times New Roman" w:hAnsi="Times New Roman"/>
          <w:sz w:val="24"/>
          <w:szCs w:val="24"/>
        </w:rPr>
        <w:t> dodaním tovaru</w:t>
      </w:r>
      <w:r w:rsidR="00576A94" w:rsidRPr="006F1128">
        <w:rPr>
          <w:rFonts w:ascii="Times New Roman" w:hAnsi="Times New Roman"/>
          <w:sz w:val="24"/>
          <w:szCs w:val="24"/>
        </w:rPr>
        <w:t>.</w:t>
      </w:r>
    </w:p>
    <w:p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0F396F">
        <w:rPr>
          <w:rFonts w:ascii="Times New Roman" w:hAnsi="Times New Roman"/>
          <w:sz w:val="24"/>
          <w:szCs w:val="24"/>
        </w:rPr>
        <w:t>tovarom</w:t>
      </w:r>
      <w:r w:rsidRPr="006F1128">
        <w:rPr>
          <w:rFonts w:ascii="Times New Roman" w:hAnsi="Times New Roman"/>
          <w:strike/>
          <w:sz w:val="24"/>
          <w:szCs w:val="24"/>
        </w:rPr>
        <w:t>/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 xml:space="preserve">voči verejnému obstarávateľovi. Ako napríklad </w:t>
      </w:r>
      <w:r w:rsidR="009838B7">
        <w:rPr>
          <w:rFonts w:ascii="Times New Roman" w:hAnsi="Times New Roman"/>
          <w:sz w:val="24"/>
          <w:szCs w:val="24"/>
        </w:rPr>
        <w:t xml:space="preserve">prenájom </w:t>
      </w:r>
      <w:proofErr w:type="spellStart"/>
      <w:r w:rsidR="009838B7">
        <w:rPr>
          <w:rFonts w:ascii="Times New Roman" w:hAnsi="Times New Roman"/>
          <w:sz w:val="24"/>
          <w:szCs w:val="24"/>
        </w:rPr>
        <w:t>výdajníkov</w:t>
      </w:r>
      <w:proofErr w:type="spellEnd"/>
      <w:r w:rsidR="009838B7">
        <w:rPr>
          <w:rFonts w:ascii="Times New Roman" w:hAnsi="Times New Roman"/>
          <w:sz w:val="24"/>
          <w:szCs w:val="24"/>
        </w:rPr>
        <w:t xml:space="preserve"> na vodu, sanitácia </w:t>
      </w:r>
      <w:proofErr w:type="spellStart"/>
      <w:r w:rsidR="009838B7">
        <w:rPr>
          <w:rFonts w:ascii="Times New Roman" w:hAnsi="Times New Roman"/>
          <w:sz w:val="24"/>
          <w:szCs w:val="24"/>
        </w:rPr>
        <w:t>výdajníkov</w:t>
      </w:r>
      <w:proofErr w:type="spellEnd"/>
      <w:r w:rsidR="009838B7">
        <w:rPr>
          <w:rFonts w:ascii="Times New Roman" w:hAnsi="Times New Roman"/>
          <w:sz w:val="24"/>
          <w:szCs w:val="24"/>
        </w:rPr>
        <w:t xml:space="preserve">, </w:t>
      </w:r>
      <w:r w:rsidRPr="00576A94">
        <w:rPr>
          <w:rFonts w:ascii="Times New Roman" w:hAnsi="Times New Roman"/>
          <w:sz w:val="24"/>
          <w:szCs w:val="24"/>
        </w:rPr>
        <w:t>balné, vyskladnenie, uskladnenie, kilometrovné, nakládka, dezinfekcia, vykládka (napr. hydraulickou rukou), stojné, technické revízie, návod na používanie v slovenskom jazyku a pod..</w:t>
      </w:r>
    </w:p>
    <w:p w:rsidR="009838B7" w:rsidRPr="009838B7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lastRenderedPageBreak/>
        <w:t xml:space="preserve">Verejný obstarávateľ si vyhradzuje právo prevziať iba </w:t>
      </w:r>
      <w:r w:rsidR="009838B7"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 w:rsidR="009838B7"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 w:rsidR="009838B7"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 w:rsidR="009838B7">
        <w:rPr>
          <w:rFonts w:ascii="Times New Roman" w:hAnsi="Times New Roman"/>
          <w:sz w:val="24"/>
          <w:szCs w:val="24"/>
        </w:rPr>
        <w:t xml:space="preserve"> alebo </w:t>
      </w:r>
      <w:r w:rsidR="00EE0215">
        <w:rPr>
          <w:rFonts w:ascii="Times New Roman" w:hAnsi="Times New Roman"/>
          <w:sz w:val="24"/>
          <w:szCs w:val="24"/>
        </w:rPr>
        <w:t>poskytnúť</w:t>
      </w:r>
      <w:r w:rsidR="009838B7">
        <w:rPr>
          <w:rFonts w:ascii="Times New Roman" w:hAnsi="Times New Roman"/>
          <w:sz w:val="24"/>
          <w:szCs w:val="24"/>
        </w:rPr>
        <w:t xml:space="preserve">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 w:rsidR="009838B7"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t>pre ktorý nebol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služba</w:t>
      </w:r>
      <w:r w:rsidRPr="009838B7">
        <w:rPr>
          <w:rFonts w:ascii="Times New Roman" w:hAnsi="Times New Roman"/>
          <w:sz w:val="24"/>
          <w:szCs w:val="24"/>
        </w:rPr>
        <w:t xml:space="preserve"> prevzatý</w:t>
      </w:r>
      <w:r w:rsidR="009838B7" w:rsidRPr="009838B7">
        <w:rPr>
          <w:rFonts w:ascii="Times New Roman" w:hAnsi="Times New Roman"/>
          <w:sz w:val="24"/>
          <w:szCs w:val="24"/>
        </w:rPr>
        <w:t>/á</w:t>
      </w:r>
      <w:r w:rsidRPr="009838B7">
        <w:rPr>
          <w:rFonts w:ascii="Times New Roman" w:hAnsi="Times New Roman"/>
          <w:sz w:val="24"/>
          <w:szCs w:val="24"/>
        </w:rPr>
        <w:t xml:space="preserve"> a bude uvedený náhradný termín dodania nového tovaru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služby</w:t>
      </w:r>
      <w:r w:rsidRPr="009838B7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službu</w:t>
      </w:r>
      <w:r w:rsidRPr="009838B7">
        <w:rPr>
          <w:rFonts w:ascii="Times New Roman" w:hAnsi="Times New Roman"/>
          <w:sz w:val="24"/>
          <w:szCs w:val="24"/>
        </w:rPr>
        <w:t>.</w:t>
      </w:r>
    </w:p>
    <w:p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:rsidR="009838B7" w:rsidRDefault="009838B7" w:rsidP="009838B7">
      <w:pPr>
        <w:spacing w:after="200" w:line="276" w:lineRule="auto"/>
        <w:rPr>
          <w:sz w:val="24"/>
          <w:szCs w:val="24"/>
        </w:rPr>
      </w:pPr>
      <w:r w:rsidRPr="009838B7">
        <w:rPr>
          <w:sz w:val="24"/>
          <w:szCs w:val="24"/>
        </w:rPr>
        <w:t xml:space="preserve">Miesta dodania: </w:t>
      </w:r>
      <w:r w:rsidR="00EE0215">
        <w:rPr>
          <w:sz w:val="24"/>
          <w:szCs w:val="24"/>
        </w:rPr>
        <w:t xml:space="preserve">obec Stupava, obec Moravský Svätý Ján, obec Rohovce </w:t>
      </w:r>
      <w:r w:rsidR="000F396F">
        <w:rPr>
          <w:sz w:val="24"/>
          <w:szCs w:val="24"/>
        </w:rPr>
        <w:t xml:space="preserve">– Útvary MV SR </w:t>
      </w:r>
    </w:p>
    <w:p w:rsidR="006D54CF" w:rsidRPr="009838B7" w:rsidRDefault="00EE0215" w:rsidP="009838B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Predpokladaný</w:t>
      </w:r>
      <w:r w:rsidR="006D54CF">
        <w:rPr>
          <w:sz w:val="24"/>
          <w:szCs w:val="24"/>
        </w:rPr>
        <w:t xml:space="preserve"> </w:t>
      </w:r>
      <w:r w:rsidR="005B2C34">
        <w:rPr>
          <w:sz w:val="24"/>
          <w:szCs w:val="24"/>
        </w:rPr>
        <w:t xml:space="preserve">počet </w:t>
      </w:r>
      <w:proofErr w:type="spellStart"/>
      <w:r w:rsidR="005B2C34">
        <w:rPr>
          <w:sz w:val="24"/>
          <w:szCs w:val="24"/>
        </w:rPr>
        <w:t>výdajníkov</w:t>
      </w:r>
      <w:proofErr w:type="spellEnd"/>
      <w:r w:rsidR="005B2C34">
        <w:rPr>
          <w:sz w:val="24"/>
          <w:szCs w:val="24"/>
        </w:rPr>
        <w:t>: 7</w:t>
      </w:r>
      <w:r w:rsidR="006D54CF">
        <w:rPr>
          <w:sz w:val="24"/>
          <w:szCs w:val="24"/>
        </w:rPr>
        <w:t xml:space="preserve"> ks </w:t>
      </w:r>
    </w:p>
    <w:p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9838B7">
        <w:rPr>
          <w:sz w:val="24"/>
          <w:szCs w:val="24"/>
        </w:rPr>
        <w:t>Požado</w:t>
      </w:r>
      <w:r w:rsidR="005B2C34">
        <w:rPr>
          <w:sz w:val="24"/>
          <w:szCs w:val="24"/>
        </w:rPr>
        <w:t>vaná lehota dodania:  24</w:t>
      </w:r>
      <w:r w:rsidR="00EE0215">
        <w:rPr>
          <w:sz w:val="24"/>
          <w:szCs w:val="24"/>
        </w:rPr>
        <w:t xml:space="preserve"> mesiacov</w:t>
      </w:r>
      <w:r w:rsidRPr="009838B7">
        <w:rPr>
          <w:sz w:val="24"/>
          <w:szCs w:val="24"/>
        </w:rPr>
        <w:t xml:space="preserve"> alebo do vyčerpania finančného limitu, podľa toho ktorá zo skutočností nastane skôr. </w:t>
      </w:r>
    </w:p>
    <w:p w:rsidR="009838B7" w:rsidRDefault="009838B7" w:rsidP="00576A94">
      <w:pPr>
        <w:spacing w:after="200" w:line="276" w:lineRule="auto"/>
        <w:rPr>
          <w:sz w:val="24"/>
          <w:szCs w:val="24"/>
        </w:rPr>
      </w:pPr>
    </w:p>
    <w:p w:rsidR="009838B7" w:rsidRDefault="009838B7" w:rsidP="00576A94">
      <w:pPr>
        <w:spacing w:after="200" w:line="276" w:lineRule="auto"/>
        <w:rPr>
          <w:sz w:val="24"/>
          <w:szCs w:val="24"/>
        </w:rPr>
      </w:pP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...............................................................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:rsidR="00576A94" w:rsidRDefault="00576A94" w:rsidP="00576A94">
      <w:pPr>
        <w:jc w:val="center"/>
        <w:rPr>
          <w:sz w:val="24"/>
          <w:szCs w:val="24"/>
        </w:rPr>
      </w:pPr>
    </w:p>
    <w:p w:rsidR="00576A94" w:rsidRPr="00576A94" w:rsidRDefault="00576A94" w:rsidP="00576A94">
      <w:pPr>
        <w:tabs>
          <w:tab w:val="left" w:pos="3795"/>
        </w:tabs>
      </w:pPr>
    </w:p>
    <w:sectPr w:rsidR="00576A94" w:rsidRPr="00576A94" w:rsidSect="00576A94">
      <w:headerReference w:type="default" r:id="rId7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7B" w:rsidRDefault="00EF277B" w:rsidP="00576A94">
      <w:r>
        <w:separator/>
      </w:r>
    </w:p>
  </w:endnote>
  <w:endnote w:type="continuationSeparator" w:id="0">
    <w:p w:rsidR="00EF277B" w:rsidRDefault="00EF277B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7B" w:rsidRDefault="00EF277B" w:rsidP="00576A94">
      <w:r>
        <w:separator/>
      </w:r>
    </w:p>
  </w:footnote>
  <w:footnote w:type="continuationSeparator" w:id="0">
    <w:p w:rsidR="00EF277B" w:rsidRDefault="00EF277B" w:rsidP="0057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4" w:rsidRDefault="00576A94" w:rsidP="00576A9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576A94" w:rsidRDefault="00576A94" w:rsidP="00576A9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576A94" w:rsidRPr="002C4C1C" w:rsidRDefault="00576A94" w:rsidP="00576A9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576A94" w:rsidRDefault="00576A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7"/>
    <w:rsid w:val="000F396F"/>
    <w:rsid w:val="001C47F5"/>
    <w:rsid w:val="0028218E"/>
    <w:rsid w:val="00346E14"/>
    <w:rsid w:val="00457257"/>
    <w:rsid w:val="00576A94"/>
    <w:rsid w:val="005B2C34"/>
    <w:rsid w:val="00640159"/>
    <w:rsid w:val="006D54CF"/>
    <w:rsid w:val="008B69B0"/>
    <w:rsid w:val="009838B7"/>
    <w:rsid w:val="00AE5119"/>
    <w:rsid w:val="00CD61C5"/>
    <w:rsid w:val="00EE0215"/>
    <w:rsid w:val="00EF277B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C6993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cp:lastPrinted>2023-06-05T13:43:00Z</cp:lastPrinted>
  <dcterms:created xsi:type="dcterms:W3CDTF">2023-07-03T12:06:00Z</dcterms:created>
  <dcterms:modified xsi:type="dcterms:W3CDTF">2023-07-03T12:06:00Z</dcterms:modified>
</cp:coreProperties>
</file>