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 xml:space="preserve">Ing. Jaroslav </w:t>
      </w:r>
      <w:proofErr w:type="spellStart"/>
      <w:r w:rsidR="007B1826" w:rsidRPr="007B1826">
        <w:rPr>
          <w:color w:val="000000"/>
          <w:sz w:val="22"/>
          <w:szCs w:val="22"/>
        </w:rPr>
        <w:t>Polaček</w:t>
      </w:r>
      <w:proofErr w:type="spellEnd"/>
      <w:r w:rsidR="007B1826" w:rsidRPr="007B1826">
        <w:rPr>
          <w:color w:val="000000"/>
          <w:sz w:val="22"/>
          <w:szCs w:val="22"/>
        </w:rPr>
        <w:t>,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 xml:space="preserve">Prima banka Slovensko </w:t>
      </w:r>
      <w:proofErr w:type="spellStart"/>
      <w:r w:rsidR="007B1826" w:rsidRPr="007B1826">
        <w:rPr>
          <w:color w:val="000000"/>
          <w:sz w:val="22"/>
          <w:szCs w:val="22"/>
        </w:rPr>
        <w:t>a.s</w:t>
      </w:r>
      <w:proofErr w:type="spellEnd"/>
      <w:r w:rsidR="007B1826" w:rsidRPr="007B1826">
        <w:rPr>
          <w:color w:val="000000"/>
          <w:sz w:val="22"/>
          <w:szCs w:val="22"/>
        </w:rPr>
        <w:t>.</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 xml:space="preserve">vyhláseného Objednávateľom podľa zákona 343/2015 </w:t>
      </w:r>
      <w:proofErr w:type="spellStart"/>
      <w:r>
        <w:rPr>
          <w:b/>
          <w:color w:val="000000"/>
          <w:sz w:val="22"/>
          <w:szCs w:val="22"/>
        </w:rPr>
        <w:t>Z.z</w:t>
      </w:r>
      <w:proofErr w:type="spellEnd"/>
      <w:r>
        <w:rPr>
          <w:b/>
          <w:color w:val="000000"/>
          <w:sz w:val="22"/>
          <w:szCs w:val="22"/>
        </w:rPr>
        <w:t>.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65CFDB61" w14:textId="77777777" w:rsidR="007255DB" w:rsidRDefault="005B7468" w:rsidP="007255DB">
      <w:pPr>
        <w:widowControl w:val="0"/>
        <w:numPr>
          <w:ilvl w:val="1"/>
          <w:numId w:val="5"/>
        </w:numPr>
        <w:pBdr>
          <w:top w:val="nil"/>
          <w:left w:val="nil"/>
          <w:bottom w:val="nil"/>
          <w:right w:val="nil"/>
          <w:between w:val="nil"/>
        </w:pBdr>
        <w:spacing w:before="120" w:after="120"/>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w:t>
      </w:r>
      <w:r w:rsidR="00676E2B">
        <w:rPr>
          <w:b/>
          <w:i/>
          <w:color w:val="000000"/>
          <w:sz w:val="22"/>
          <w:szCs w:val="22"/>
        </w:rPr>
        <w:t>I</w:t>
      </w:r>
      <w:r w:rsidR="00725DB5">
        <w:rPr>
          <w:b/>
          <w:i/>
          <w:color w:val="000000"/>
          <w:sz w:val="22"/>
          <w:szCs w:val="22"/>
        </w:rPr>
        <w:t>I.</w:t>
      </w:r>
      <w:r w:rsidR="00D773F5">
        <w:rPr>
          <w:b/>
          <w:i/>
          <w:color w:val="000000"/>
          <w:sz w:val="22"/>
          <w:szCs w:val="22"/>
        </w:rPr>
        <w:t xml:space="preserve">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14:paraId="63BCB0AA" w14:textId="6EB4783E" w:rsidR="007255DB" w:rsidRPr="00953E3B" w:rsidRDefault="007255DB" w:rsidP="007255DB">
      <w:pPr>
        <w:widowControl w:val="0"/>
        <w:numPr>
          <w:ilvl w:val="1"/>
          <w:numId w:val="5"/>
        </w:numPr>
        <w:pBdr>
          <w:top w:val="nil"/>
          <w:left w:val="nil"/>
          <w:bottom w:val="nil"/>
          <w:right w:val="nil"/>
          <w:between w:val="nil"/>
        </w:pBdr>
        <w:spacing w:before="120" w:after="120"/>
        <w:ind w:left="284" w:hanging="284"/>
        <w:jc w:val="both"/>
        <w:rPr>
          <w:sz w:val="22"/>
          <w:szCs w:val="22"/>
        </w:rPr>
      </w:pPr>
      <w:r w:rsidRPr="00953E3B">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(súčasťou tejto špecifikácie je rozpočet a presná špecifikácia diela).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V predmete Zmluvy sú tiež obsiahnuté všetky plnenia, ktoré nie sú výslovne uvedené v súťažných podkladoch pre výber zhotoviteľa, v realizačnej projektovej dokumentácii, opise stavby alebo ostatných súčastiach Zmluvy, ale sú nevyhnutné na vykonanie diela podľa tejto zmluvy, o ktorých zhotoviteľ s prihliadnutím na vlastné odborné znalosti s vynaložením všetkej odbornej starostlivosti vedel alebo vedieť mal a mohol a ktoré mohol zistiť dôkladným preskúmaním projektovej a výkresovej dokumentácie, ktoré mu boli na požiadanie prístupné pred vyhotovením jeho ponuky. Zhotoviteľ vyhlasuje, že sa pred podpisom tejto zmluvy podrobne oboznámil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p>
    <w:p w14:paraId="189A122D" w14:textId="77777777" w:rsidR="007255DB" w:rsidRPr="008F1B9D" w:rsidRDefault="007255DB" w:rsidP="007255DB">
      <w:pPr>
        <w:widowControl w:val="0"/>
        <w:pBdr>
          <w:top w:val="nil"/>
          <w:left w:val="nil"/>
          <w:bottom w:val="nil"/>
          <w:right w:val="nil"/>
          <w:between w:val="nil"/>
        </w:pBdr>
        <w:jc w:val="both"/>
      </w:pP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2FEC8756"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w:t>
      </w:r>
      <w:r w:rsidR="00D01D20" w:rsidRPr="00472726">
        <w:rPr>
          <w:rFonts w:ascii="Cambria" w:hAnsi="Cambria"/>
          <w:sz w:val="22"/>
          <w:szCs w:val="22"/>
        </w:rPr>
        <w:t>–</w:t>
      </w:r>
      <w:r w:rsidRPr="00472726">
        <w:rPr>
          <w:rFonts w:ascii="Cambria" w:hAnsi="Cambria"/>
          <w:sz w:val="22"/>
          <w:szCs w:val="22"/>
        </w:rPr>
        <w:t xml:space="preserve"> </w:t>
      </w:r>
      <w:proofErr w:type="spellStart"/>
      <w:r w:rsidR="00267CB7">
        <w:rPr>
          <w:rFonts w:ascii="Cambria" w:hAnsi="Cambria"/>
          <w:sz w:val="22"/>
          <w:szCs w:val="22"/>
        </w:rPr>
        <w:t>Jantárova</w:t>
      </w:r>
      <w:proofErr w:type="spellEnd"/>
    </w:p>
    <w:p w14:paraId="269F2C68" w14:textId="084734C9"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267CB7">
        <w:rPr>
          <w:rFonts w:ascii="Cambria" w:hAnsi="Cambria"/>
          <w:sz w:val="22"/>
          <w:szCs w:val="22"/>
        </w:rPr>
        <w:t>Mliečna</w:t>
      </w:r>
    </w:p>
    <w:p w14:paraId="43774FE6" w14:textId="7D886E1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576861">
        <w:rPr>
          <w:rFonts w:ascii="Cambria" w:hAnsi="Cambria"/>
          <w:sz w:val="22"/>
          <w:szCs w:val="22"/>
        </w:rPr>
        <w:t>Tolstého</w:t>
      </w:r>
    </w:p>
    <w:p w14:paraId="26865640" w14:textId="0C28C134"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proofErr w:type="spellStart"/>
      <w:r w:rsidR="00FE3B91">
        <w:rPr>
          <w:rFonts w:ascii="Cambria" w:hAnsi="Cambria"/>
          <w:sz w:val="22"/>
          <w:szCs w:val="22"/>
        </w:rPr>
        <w:t>Watsonova</w:t>
      </w:r>
      <w:proofErr w:type="spellEnd"/>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w:t>
      </w:r>
      <w:proofErr w:type="spellStart"/>
      <w:r w:rsidR="007E6A3E" w:rsidRPr="007B1826">
        <w:rPr>
          <w:color w:val="000000"/>
          <w:sz w:val="22"/>
          <w:szCs w:val="22"/>
        </w:rPr>
        <w:t>klúč</w:t>
      </w:r>
      <w:proofErr w:type="spellEnd"/>
      <w:r w:rsidR="007E6A3E" w:rsidRPr="007B1826">
        <w:rPr>
          <w:color w:val="000000"/>
          <w:sz w:val="22"/>
          <w:szCs w:val="22"/>
        </w:rPr>
        <w:t xml:space="preserve"> </w:t>
      </w:r>
      <w:r w:rsidR="007E6A3E" w:rsidRPr="007B1826">
        <w:rPr>
          <w:color w:val="000000"/>
          <w:sz w:val="22"/>
          <w:szCs w:val="22"/>
        </w:rPr>
        <w:lastRenderedPageBreak/>
        <w:t>a zahŕňa všetky náklady spo</w:t>
      </w:r>
      <w:r w:rsidR="00B82C0A" w:rsidRPr="007B1826">
        <w:rPr>
          <w:color w:val="000000"/>
          <w:sz w:val="22"/>
          <w:szCs w:val="22"/>
        </w:rPr>
        <w:t>jené s </w:t>
      </w:r>
      <w:proofErr w:type="spellStart"/>
      <w:r w:rsidR="00B82C0A" w:rsidRPr="007B1826">
        <w:rPr>
          <w:color w:val="000000"/>
          <w:sz w:val="22"/>
          <w:szCs w:val="22"/>
        </w:rPr>
        <w:t>riadným</w:t>
      </w:r>
      <w:proofErr w:type="spellEnd"/>
      <w:r w:rsidR="00B82C0A" w:rsidRPr="007B1826">
        <w:rPr>
          <w:color w:val="000000"/>
          <w:sz w:val="22"/>
          <w:szCs w:val="22"/>
        </w:rPr>
        <w:t xml:space="preserve">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0DA569CE" w:rsidR="008F1B9D" w:rsidRDefault="008F1B9D" w:rsidP="008F1B9D">
      <w:pPr>
        <w:pStyle w:val="Odsekzoznamu"/>
        <w:numPr>
          <w:ilvl w:val="0"/>
          <w:numId w:val="11"/>
        </w:numPr>
        <w:ind w:left="284" w:hanging="426"/>
        <w:jc w:val="both"/>
        <w:rPr>
          <w:sz w:val="22"/>
          <w:szCs w:val="22"/>
        </w:rPr>
      </w:pPr>
      <w:bookmarkStart w:id="0" w:name="_Hlk140871067"/>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 xml:space="preserve">mluvy ) do </w:t>
      </w:r>
      <w:r w:rsidR="00BB4BC9">
        <w:rPr>
          <w:sz w:val="22"/>
          <w:szCs w:val="22"/>
        </w:rPr>
        <w:t>2</w:t>
      </w:r>
      <w:r w:rsidRPr="008F1B9D">
        <w:rPr>
          <w:sz w:val="22"/>
          <w:szCs w:val="22"/>
        </w:rPr>
        <w:t xml:space="preserve"> mesiacov.</w:t>
      </w:r>
    </w:p>
    <w:bookmarkEnd w:id="0"/>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 xml:space="preserve">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w:t>
      </w:r>
      <w:r w:rsidRPr="008F1B9D">
        <w:rPr>
          <w:sz w:val="22"/>
          <w:szCs w:val="22"/>
        </w:rPr>
        <w:lastRenderedPageBreak/>
        <w:t>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w:t>
      </w:r>
      <w:r>
        <w:rPr>
          <w:color w:val="000000"/>
          <w:sz w:val="22"/>
          <w:szCs w:val="22"/>
        </w:rPr>
        <w:lastRenderedPageBreak/>
        <w:t xml:space="preserve">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w:t>
      </w:r>
      <w:proofErr w:type="spellStart"/>
      <w:r w:rsidRPr="008F1B9D">
        <w:rPr>
          <w:sz w:val="22"/>
          <w:szCs w:val="22"/>
        </w:rPr>
        <w:t>t.j</w:t>
      </w:r>
      <w:proofErr w:type="spellEnd"/>
      <w:r w:rsidRPr="008F1B9D">
        <w:rPr>
          <w:sz w:val="22"/>
          <w:szCs w:val="22"/>
        </w:rPr>
        <w:t>. činnosti, ktorú podľa tejto zmluvy vykonáva pre objednávateľa, a to vo výške poistného plnenia minimálne v sume 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zabezpečí zhodnocovanie odpadov recykláciou prevádzkou zariadenia na zhodnocovanie odpadov podľa zákona č. 79/2015 </w:t>
      </w:r>
      <w:proofErr w:type="spellStart"/>
      <w:r>
        <w:rPr>
          <w:color w:val="000000"/>
          <w:sz w:val="22"/>
          <w:szCs w:val="22"/>
        </w:rPr>
        <w:t>Z.z</w:t>
      </w:r>
      <w:proofErr w:type="spellEnd"/>
      <w:r>
        <w:rPr>
          <w:color w:val="000000"/>
          <w:sz w:val="22"/>
          <w:szCs w:val="22"/>
        </w:rPr>
        <w:t>.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počas realizácie diela má právo kontrolovať vykonávanie prác a priebežne 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 xml:space="preserve">stanovené v predmete zmluvy, prevedie sa fyzická kontrola vykonaného diela, jeho súčasti a </w:t>
      </w:r>
      <w:r w:rsidR="005B7468">
        <w:rPr>
          <w:color w:val="000000"/>
          <w:sz w:val="22"/>
          <w:szCs w:val="22"/>
        </w:rPr>
        <w:lastRenderedPageBreak/>
        <w:t>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color w:val="000000"/>
          <w:sz w:val="22"/>
          <w:szCs w:val="22"/>
        </w:rPr>
        <w:t>ny</w:t>
      </w:r>
      <w:proofErr w:type="spellEnd"/>
      <w:r>
        <w:rPr>
          <w:color w:val="000000"/>
          <w:sz w:val="22"/>
          <w:szCs w:val="22"/>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Pr>
          <w:color w:val="000000"/>
          <w:sz w:val="22"/>
          <w:szCs w:val="22"/>
        </w:rPr>
        <w:t>Z.z</w:t>
      </w:r>
      <w:proofErr w:type="spellEnd"/>
      <w:r>
        <w:rPr>
          <w:color w:val="000000"/>
          <w:sz w:val="22"/>
          <w:szCs w:val="22"/>
        </w:rPr>
        <w:t xml:space="preserve">. o verejnom obstarávaní a neexistujú u neho dôvody na vylúčenie podľa § 40 ods. 6 písm. a) až h) a ods. 7 zákona č. 343/2015 </w:t>
      </w:r>
      <w:proofErr w:type="spellStart"/>
      <w:r>
        <w:rPr>
          <w:color w:val="000000"/>
          <w:sz w:val="22"/>
          <w:szCs w:val="22"/>
        </w:rPr>
        <w:t>Z.z</w:t>
      </w:r>
      <w:proofErr w:type="spellEnd"/>
      <w:r>
        <w:rPr>
          <w:color w:val="000000"/>
          <w:sz w:val="22"/>
          <w:szCs w:val="22"/>
        </w:rPr>
        <w:t>.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Pr>
          <w:color w:val="000000"/>
          <w:sz w:val="22"/>
          <w:szCs w:val="22"/>
        </w:rPr>
        <w:t>Z.z</w:t>
      </w:r>
      <w:proofErr w:type="spellEnd"/>
      <w:r>
        <w:rPr>
          <w:color w:val="000000"/>
          <w:sz w:val="22"/>
          <w:szCs w:val="22"/>
        </w:rPr>
        <w:t>.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1227FD03" w14:textId="77777777" w:rsidR="00F976C3" w:rsidRDefault="005B7468"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 xml:space="preserve">splátkach na základe </w:t>
      </w:r>
      <w:r w:rsidR="009E1AE6" w:rsidRPr="008F1B9D">
        <w:rPr>
          <w:sz w:val="22"/>
          <w:szCs w:val="22"/>
        </w:rPr>
        <w:lastRenderedPageBreak/>
        <w:t>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p>
    <w:p w14:paraId="6DD16E48" w14:textId="77777777" w:rsidR="00103E18" w:rsidRDefault="00103E18" w:rsidP="00103E18">
      <w:pPr>
        <w:widowControl w:val="0"/>
        <w:pBdr>
          <w:top w:val="nil"/>
          <w:left w:val="nil"/>
          <w:bottom w:val="nil"/>
          <w:right w:val="nil"/>
          <w:between w:val="nil"/>
        </w:pBdr>
        <w:spacing w:before="120" w:after="120"/>
        <w:ind w:left="284"/>
        <w:jc w:val="both"/>
        <w:rPr>
          <w:sz w:val="22"/>
          <w:szCs w:val="22"/>
        </w:rPr>
      </w:pPr>
    </w:p>
    <w:p w14:paraId="29BEC4C4" w14:textId="3FE01239" w:rsidR="005B7468" w:rsidRPr="00F976C3" w:rsidRDefault="00F976C3"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sidRPr="00F976C3">
        <w:rPr>
          <w:sz w:val="22"/>
          <w:szCs w:val="22"/>
        </w:rPr>
        <w:t>Zhotoviteľ nie je oprávnený postúpiť akúkoľvek pohľadávku vzniknutú na základe tejto zmluvy na tretiu osobu bez predchádzajúceho písomného súhlasu objednávateľa, inak sa takéto postúpenie považuje za neplatné. Objednávateľ vždy udelí súhlas s postúpením pohľadávky zhotoviteľa podľa predchádzajúcej vety na banku alebo pobočku zahraničnej banky so sídlom na území Slovenskej republiky alebo na území ostatných členských štátov Európskej únie. 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14:paraId="11873F52" w14:textId="2C24FF77" w:rsidR="008F1B9D" w:rsidRPr="00044276" w:rsidRDefault="00C658AC"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6548DBC8"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31.01.2023,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w:t>
      </w:r>
      <w:r w:rsidR="00BB4BC9">
        <w:rPr>
          <w:sz w:val="22"/>
          <w:szCs w:val="22"/>
        </w:rPr>
        <w:t>3</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 xml:space="preserve">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w:t>
      </w:r>
      <w:proofErr w:type="spellStart"/>
      <w:r w:rsidRPr="008F1B9D">
        <w:rPr>
          <w:sz w:val="22"/>
          <w:szCs w:val="22"/>
        </w:rPr>
        <w:t>t.j</w:t>
      </w:r>
      <w:proofErr w:type="spellEnd"/>
      <w:r w:rsidRPr="008F1B9D">
        <w:rPr>
          <w:sz w:val="22"/>
          <w:szCs w:val="22"/>
        </w:rPr>
        <w:t xml:space="preserve">. v súlade s platnými právnymi predpismi, STN, ISO, technickými </w:t>
      </w:r>
      <w:r w:rsidRPr="008F1B9D">
        <w:rPr>
          <w:sz w:val="22"/>
          <w:szCs w:val="22"/>
        </w:rPr>
        <w:lastRenderedPageBreak/>
        <w:t>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Pred uplynutím záručnej doby vyzve objednávateľ zhotoviteľa na vykonanie obhliadky diela a </w:t>
      </w:r>
      <w:r w:rsidRPr="008F1B9D">
        <w:rPr>
          <w:sz w:val="22"/>
          <w:szCs w:val="22"/>
        </w:rPr>
        <w:lastRenderedPageBreak/>
        <w:t>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943D83A" w14:textId="77777777" w:rsidR="001A7EDF" w:rsidRPr="001A7EDF" w:rsidRDefault="008F1B9D" w:rsidP="00B5298C">
      <w:pPr>
        <w:widowControl w:val="0"/>
        <w:numPr>
          <w:ilvl w:val="0"/>
          <w:numId w:val="6"/>
        </w:numPr>
        <w:pBdr>
          <w:top w:val="nil"/>
          <w:left w:val="nil"/>
          <w:bottom w:val="nil"/>
          <w:right w:val="nil"/>
          <w:between w:val="nil"/>
        </w:pBdr>
        <w:ind w:left="284" w:hanging="284"/>
        <w:jc w:val="both"/>
      </w:pPr>
      <w:r w:rsidRPr="008F1B9D">
        <w:rPr>
          <w:sz w:val="22"/>
          <w:szCs w:val="22"/>
        </w:rPr>
        <w:t xml:space="preserve">V prípade porušenia zmluvných záväzkov, sa zmluvné strany dohodli na nasledovných sankciách:       </w:t>
      </w:r>
    </w:p>
    <w:p w14:paraId="507D45FC" w14:textId="77777777" w:rsidR="001A7EDF" w:rsidRDefault="001A7EDF" w:rsidP="001A7EDF">
      <w:pPr>
        <w:widowControl w:val="0"/>
        <w:pBdr>
          <w:top w:val="nil"/>
          <w:left w:val="nil"/>
          <w:bottom w:val="nil"/>
          <w:right w:val="nil"/>
          <w:between w:val="nil"/>
        </w:pBdr>
        <w:ind w:left="284"/>
        <w:jc w:val="both"/>
        <w:rPr>
          <w:sz w:val="22"/>
          <w:szCs w:val="22"/>
        </w:rPr>
      </w:pPr>
    </w:p>
    <w:p w14:paraId="213F46ED" w14:textId="0EEC46D7" w:rsidR="00B5298C" w:rsidRDefault="001A7EDF" w:rsidP="001A7EDF">
      <w:pPr>
        <w:widowControl w:val="0"/>
        <w:pBdr>
          <w:top w:val="nil"/>
          <w:left w:val="nil"/>
          <w:bottom w:val="nil"/>
          <w:right w:val="nil"/>
          <w:between w:val="nil"/>
        </w:pBdr>
        <w:ind w:left="709" w:hanging="425"/>
        <w:jc w:val="both"/>
      </w:pPr>
      <w:r>
        <w:rPr>
          <w:sz w:val="22"/>
          <w:szCs w:val="22"/>
        </w:rPr>
        <w:t>1</w:t>
      </w:r>
      <w:r w:rsidR="008F1B9D" w:rsidRPr="008F1B9D">
        <w:rPr>
          <w:sz w:val="22"/>
          <w:szCs w:val="22"/>
        </w:rPr>
        <w:t>.1</w:t>
      </w:r>
      <w:r w:rsidR="008F1B9D" w:rsidRPr="008F1B9D">
        <w:rPr>
          <w:sz w:val="22"/>
          <w:szCs w:val="22"/>
        </w:rPr>
        <w:tab/>
        <w:t xml:space="preserve">v prípade, že bude zhotoviteľ v omeškaní s ukončením diela, je zhotoviteľ povinný zaplatiť objednávateľovi zmluvnú pokutu vo výške 0,3 % z ceny diela za každý deň omeškania, nárok na pokutu v rovnakej výške vzniká objednávateľovi aj v prípade nedodržania záväzných termínov harmonogramu prác, </w:t>
      </w:r>
    </w:p>
    <w:p w14:paraId="23AC1C02" w14:textId="2EFDD191"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B5298C">
        <w:rPr>
          <w:sz w:val="22"/>
          <w:szCs w:val="22"/>
        </w:rPr>
        <w:t xml:space="preserve">omeškanie s prevzatím niektorého staveniska a/alebo so začatím vykonávania prác na diele vo výške 200,- Eur za každý aj začatý deň omeškania, </w:t>
      </w:r>
    </w:p>
    <w:p w14:paraId="045F6383" w14:textId="01C4BC2E"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B5298C">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B5298C">
      <w:pPr>
        <w:pStyle w:val="Odsekzoznamu"/>
        <w:numPr>
          <w:ilvl w:val="0"/>
          <w:numId w:val="20"/>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B5298C">
      <w:pPr>
        <w:pStyle w:val="Odsekzoznamu"/>
        <w:numPr>
          <w:ilvl w:val="0"/>
          <w:numId w:val="20"/>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B5298C">
      <w:pPr>
        <w:pStyle w:val="Odsekzoznamu"/>
        <w:numPr>
          <w:ilvl w:val="0"/>
          <w:numId w:val="20"/>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B5298C">
      <w:pPr>
        <w:pStyle w:val="Odsekzoznamu"/>
        <w:numPr>
          <w:ilvl w:val="0"/>
          <w:numId w:val="20"/>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62EF336E" w14:textId="77777777" w:rsidR="008F1B9D" w:rsidRDefault="008F1B9D" w:rsidP="00B5298C">
      <w:pPr>
        <w:pStyle w:val="Odsekzoznamu"/>
        <w:numPr>
          <w:ilvl w:val="0"/>
          <w:numId w:val="20"/>
        </w:numPr>
        <w:jc w:val="both"/>
        <w:rPr>
          <w:sz w:val="22"/>
          <w:szCs w:val="22"/>
        </w:rPr>
      </w:pPr>
      <w:r w:rsidRPr="008F1B9D">
        <w:rPr>
          <w:sz w:val="22"/>
          <w:szCs w:val="22"/>
        </w:rPr>
        <w:lastRenderedPageBreak/>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B5298C">
      <w:pPr>
        <w:pStyle w:val="Odsekzoznamu"/>
        <w:numPr>
          <w:ilvl w:val="0"/>
          <w:numId w:val="20"/>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B5298C">
      <w:pPr>
        <w:pStyle w:val="Odsekzoznamu"/>
        <w:numPr>
          <w:ilvl w:val="0"/>
          <w:numId w:val="20"/>
        </w:numPr>
        <w:jc w:val="both"/>
        <w:rPr>
          <w:sz w:val="22"/>
          <w:szCs w:val="22"/>
        </w:rPr>
      </w:pPr>
      <w:r w:rsidRPr="008F1B9D">
        <w:rPr>
          <w:color w:val="000000"/>
          <w:sz w:val="22"/>
          <w:szCs w:val="22"/>
        </w:rPr>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F06780">
      <w:pPr>
        <w:pStyle w:val="Odsekzoznamu"/>
        <w:numPr>
          <w:ilvl w:val="3"/>
          <w:numId w:val="19"/>
        </w:numPr>
        <w:ind w:left="426" w:hanging="426"/>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F06780">
      <w:pPr>
        <w:pStyle w:val="Odsekzoznamu"/>
        <w:ind w:left="426" w:hanging="426"/>
        <w:jc w:val="both"/>
        <w:rPr>
          <w:sz w:val="22"/>
          <w:szCs w:val="22"/>
        </w:rPr>
      </w:pPr>
    </w:p>
    <w:p w14:paraId="5E2891A7" w14:textId="6D72E5B1" w:rsidR="008F1B9D" w:rsidRDefault="008F1B9D" w:rsidP="00F06780">
      <w:pPr>
        <w:pStyle w:val="Odsekzoznamu"/>
        <w:numPr>
          <w:ilvl w:val="3"/>
          <w:numId w:val="19"/>
        </w:numPr>
        <w:ind w:left="426" w:hanging="426"/>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F06780">
      <w:pPr>
        <w:ind w:left="426" w:hanging="426"/>
        <w:jc w:val="both"/>
        <w:rPr>
          <w:sz w:val="22"/>
          <w:szCs w:val="22"/>
        </w:rPr>
      </w:pPr>
    </w:p>
    <w:p w14:paraId="2DAA0D23" w14:textId="1CDD2ECA"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F06780">
      <w:pPr>
        <w:ind w:left="426" w:hanging="426"/>
        <w:jc w:val="both"/>
        <w:rPr>
          <w:sz w:val="22"/>
          <w:szCs w:val="22"/>
        </w:rPr>
      </w:pPr>
    </w:p>
    <w:p w14:paraId="72B65112"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F06780">
      <w:pPr>
        <w:ind w:left="426" w:hanging="426"/>
        <w:rPr>
          <w:sz w:val="22"/>
          <w:szCs w:val="22"/>
        </w:rPr>
      </w:pPr>
    </w:p>
    <w:p w14:paraId="2B935EA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F06780">
      <w:pPr>
        <w:pStyle w:val="Odsekzoznamu"/>
        <w:ind w:left="426" w:hanging="426"/>
        <w:rPr>
          <w:sz w:val="22"/>
          <w:szCs w:val="22"/>
        </w:rPr>
      </w:pPr>
    </w:p>
    <w:p w14:paraId="696CBEC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14:paraId="0BE03E54" w14:textId="77777777" w:rsidR="008F1B9D" w:rsidRPr="008F1B9D" w:rsidRDefault="008F1B9D" w:rsidP="00F06780">
      <w:pPr>
        <w:pStyle w:val="Odsekzoznamu"/>
        <w:ind w:left="426" w:hanging="426"/>
        <w:rPr>
          <w:sz w:val="22"/>
          <w:szCs w:val="22"/>
        </w:rPr>
      </w:pPr>
    </w:p>
    <w:p w14:paraId="099D2C46"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F06780">
      <w:pPr>
        <w:pStyle w:val="Odsekzoznamu"/>
        <w:ind w:left="426" w:hanging="426"/>
        <w:rPr>
          <w:sz w:val="22"/>
          <w:szCs w:val="22"/>
        </w:rPr>
      </w:pPr>
    </w:p>
    <w:p w14:paraId="6C1574C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F06780">
      <w:pPr>
        <w:pStyle w:val="Odsekzoznamu"/>
        <w:ind w:left="426" w:hanging="426"/>
        <w:rPr>
          <w:sz w:val="22"/>
          <w:szCs w:val="22"/>
        </w:rPr>
      </w:pPr>
    </w:p>
    <w:p w14:paraId="6AF3793C"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F06780">
      <w:pPr>
        <w:pStyle w:val="Odsekzoznamu"/>
        <w:ind w:left="426" w:hanging="426"/>
        <w:rPr>
          <w:sz w:val="22"/>
          <w:szCs w:val="22"/>
        </w:rPr>
      </w:pPr>
    </w:p>
    <w:p w14:paraId="04020017"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F06780">
      <w:pPr>
        <w:pStyle w:val="Odsekzoznamu"/>
        <w:ind w:left="426" w:hanging="426"/>
        <w:rPr>
          <w:sz w:val="22"/>
          <w:szCs w:val="22"/>
        </w:rPr>
      </w:pPr>
    </w:p>
    <w:p w14:paraId="0F862649"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F06780">
      <w:pPr>
        <w:pStyle w:val="Odsekzoznamu"/>
        <w:ind w:left="426" w:hanging="426"/>
        <w:rPr>
          <w:sz w:val="22"/>
          <w:szCs w:val="22"/>
        </w:rPr>
      </w:pPr>
    </w:p>
    <w:p w14:paraId="08F3EBF5"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F06780">
      <w:pPr>
        <w:pStyle w:val="Odsekzoznamu"/>
        <w:ind w:left="426" w:hanging="426"/>
        <w:rPr>
          <w:sz w:val="22"/>
          <w:szCs w:val="22"/>
        </w:rPr>
      </w:pPr>
    </w:p>
    <w:p w14:paraId="733C778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F06780">
      <w:pPr>
        <w:pStyle w:val="Odsekzoznamu"/>
        <w:ind w:left="426" w:hanging="426"/>
        <w:rPr>
          <w:sz w:val="22"/>
          <w:szCs w:val="22"/>
        </w:rPr>
      </w:pPr>
    </w:p>
    <w:p w14:paraId="1929E36A"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F06780">
      <w:pPr>
        <w:pStyle w:val="Odsekzoznamu"/>
        <w:ind w:left="426" w:hanging="426"/>
        <w:rPr>
          <w:sz w:val="22"/>
          <w:szCs w:val="22"/>
        </w:rPr>
      </w:pPr>
    </w:p>
    <w:p w14:paraId="233B7A5F"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F06780">
      <w:pPr>
        <w:pStyle w:val="Odsekzoznamu"/>
        <w:ind w:left="426" w:hanging="426"/>
        <w:rPr>
          <w:sz w:val="22"/>
          <w:szCs w:val="22"/>
        </w:rPr>
      </w:pPr>
    </w:p>
    <w:p w14:paraId="7E8B38BA"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F06780">
      <w:pPr>
        <w:pStyle w:val="Odsekzoznamu"/>
        <w:ind w:left="426" w:hanging="426"/>
        <w:rPr>
          <w:sz w:val="22"/>
          <w:szCs w:val="22"/>
        </w:rPr>
      </w:pPr>
    </w:p>
    <w:p w14:paraId="397333A3"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w:t>
      </w:r>
      <w:r w:rsidRPr="008F1B9D">
        <w:rPr>
          <w:sz w:val="22"/>
          <w:szCs w:val="22"/>
        </w:rPr>
        <w:lastRenderedPageBreak/>
        <w:t xml:space="preserve">oznámiť neodkladne aj objednávateľovi za účelom objektívneho vyšetrenia a prijatia preventívnych opatrení. </w:t>
      </w:r>
    </w:p>
    <w:p w14:paraId="1390C823" w14:textId="77777777" w:rsidR="008F1B9D" w:rsidRPr="008F1B9D" w:rsidRDefault="008F1B9D" w:rsidP="00F06780">
      <w:pPr>
        <w:pStyle w:val="Odsekzoznamu"/>
        <w:ind w:left="426" w:hanging="426"/>
        <w:rPr>
          <w:sz w:val="22"/>
          <w:szCs w:val="22"/>
        </w:rPr>
      </w:pPr>
    </w:p>
    <w:p w14:paraId="2D48B2F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F06780">
      <w:pPr>
        <w:pStyle w:val="Odsekzoznamu"/>
        <w:ind w:left="426" w:hanging="426"/>
        <w:rPr>
          <w:sz w:val="22"/>
          <w:szCs w:val="22"/>
        </w:rPr>
      </w:pPr>
    </w:p>
    <w:p w14:paraId="4238079F"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8F1B9D" w:rsidRDefault="008F1B9D" w:rsidP="00F06780">
      <w:pPr>
        <w:pStyle w:val="Odsekzoznamu"/>
        <w:ind w:left="426" w:hanging="426"/>
        <w:rPr>
          <w:sz w:val="22"/>
          <w:szCs w:val="22"/>
        </w:rPr>
      </w:pPr>
    </w:p>
    <w:p w14:paraId="66B15ED9"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F06780">
      <w:pPr>
        <w:pStyle w:val="Odsekzoznamu"/>
        <w:ind w:left="426" w:hanging="426"/>
        <w:rPr>
          <w:sz w:val="22"/>
          <w:szCs w:val="22"/>
        </w:rPr>
      </w:pPr>
    </w:p>
    <w:p w14:paraId="6351A358"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F06780">
      <w:pPr>
        <w:pStyle w:val="Odsekzoznamu"/>
        <w:ind w:left="426" w:hanging="426"/>
        <w:rPr>
          <w:sz w:val="22"/>
          <w:szCs w:val="22"/>
        </w:rPr>
      </w:pPr>
    </w:p>
    <w:p w14:paraId="49A5A943" w14:textId="05BA9E25" w:rsidR="008F1B9D" w:rsidRPr="008F1B9D" w:rsidRDefault="008F1B9D" w:rsidP="00F06780">
      <w:pPr>
        <w:pStyle w:val="Odsekzoznamu"/>
        <w:numPr>
          <w:ilvl w:val="3"/>
          <w:numId w:val="19"/>
        </w:numPr>
        <w:ind w:left="426" w:hanging="426"/>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Od zmluvy možno odstúpiť v prípadoch, ktoré stanovuje Zmluva a § 344 a </w:t>
      </w:r>
      <w:proofErr w:type="spellStart"/>
      <w:r>
        <w:rPr>
          <w:color w:val="000000"/>
          <w:sz w:val="22"/>
          <w:szCs w:val="22"/>
        </w:rPr>
        <w:t>nasl</w:t>
      </w:r>
      <w:proofErr w:type="spellEnd"/>
      <w:r>
        <w:rPr>
          <w:color w:val="000000"/>
          <w:sz w:val="22"/>
          <w:szCs w:val="22"/>
        </w:rPr>
        <w:t>.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 xml:space="preserve">ak napriek prepracovaniu alebo nápravným opatreniam zhotoviteľa sú práce alebo ich časti </w:t>
      </w:r>
      <w:proofErr w:type="spellStart"/>
      <w:r>
        <w:rPr>
          <w:color w:val="000000"/>
          <w:sz w:val="22"/>
          <w:szCs w:val="22"/>
        </w:rPr>
        <w:t>vadné</w:t>
      </w:r>
      <w:proofErr w:type="spellEnd"/>
      <w:r>
        <w:rPr>
          <w:color w:val="000000"/>
          <w:sz w:val="22"/>
          <w:szCs w:val="22"/>
        </w:rPr>
        <w:t xml:space="preserve">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lastRenderedPageBreak/>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w:t>
      </w:r>
      <w:proofErr w:type="spellStart"/>
      <w:r>
        <w:rPr>
          <w:color w:val="000000"/>
          <w:sz w:val="22"/>
          <w:szCs w:val="22"/>
        </w:rPr>
        <w:t>nasl</w:t>
      </w:r>
      <w:proofErr w:type="spellEnd"/>
      <w:r>
        <w:rPr>
          <w:color w:val="000000"/>
          <w:sz w:val="22"/>
          <w:szCs w:val="22"/>
        </w:rPr>
        <w:t xml:space="preserve">.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13E9527B" w14:textId="77777777" w:rsidR="005B7468" w:rsidRDefault="005B7468" w:rsidP="005B7468">
      <w:pPr>
        <w:pBdr>
          <w:top w:val="nil"/>
          <w:left w:val="nil"/>
          <w:bottom w:val="nil"/>
          <w:right w:val="nil"/>
          <w:between w:val="nil"/>
        </w:pBdr>
        <w:ind w:left="708"/>
        <w:rPr>
          <w:color w:val="000000"/>
          <w:sz w:val="22"/>
          <w:szCs w:val="22"/>
        </w:rPr>
      </w:pPr>
    </w:p>
    <w:p w14:paraId="790DEC15" w14:textId="77777777" w:rsidR="005B7468" w:rsidRDefault="005B7468"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4C7E6D5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xml:space="preserve">“) týkajúce sa tejto Zmluvy, si Zmluvné strany budú doručovať niektorým z nasledovných spôsobov: </w:t>
      </w:r>
      <w:r>
        <w:rPr>
          <w:color w:val="000000"/>
          <w:sz w:val="22"/>
          <w:szCs w:val="22"/>
        </w:rPr>
        <w:lastRenderedPageBreak/>
        <w:t>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w:t>
      </w:r>
      <w:r>
        <w:rPr>
          <w:color w:val="000000"/>
          <w:sz w:val="22"/>
          <w:szCs w:val="22"/>
        </w:rPr>
        <w:lastRenderedPageBreak/>
        <w:t xml:space="preserve">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w:t>
      </w:r>
      <w:proofErr w:type="spellStart"/>
      <w:r>
        <w:rPr>
          <w:color w:val="000000"/>
          <w:sz w:val="22"/>
          <w:szCs w:val="22"/>
        </w:rPr>
        <w:t>Z.z</w:t>
      </w:r>
      <w:proofErr w:type="spellEnd"/>
      <w:r>
        <w:rPr>
          <w:color w:val="000000"/>
          <w:sz w:val="22"/>
          <w:szCs w:val="22"/>
        </w:rPr>
        <w:t xml:space="preserve">.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Práva a povinnosti Zmluvných strán, ktoré vzniknú z právneho vzťahu založeného touto Zmluvou, ňou neupravené, sa spravujú ustanoveniami zákona č. 513/1991 Zb. Obchodného zákonníka v znení </w:t>
      </w:r>
      <w:r>
        <w:rPr>
          <w:color w:val="000000"/>
          <w:sz w:val="22"/>
          <w:szCs w:val="22"/>
        </w:rPr>
        <w:lastRenderedPageBreak/>
        <w:t>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 xml:space="preserve">Ing. Jaroslav </w:t>
            </w:r>
            <w:proofErr w:type="spellStart"/>
            <w:r w:rsidRPr="007B1826">
              <w:rPr>
                <w:color w:val="000000"/>
                <w:sz w:val="22"/>
                <w:szCs w:val="22"/>
              </w:rPr>
              <w:t>Polaček</w:t>
            </w:r>
            <w:proofErr w:type="spellEnd"/>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Default="00A251DC"/>
    <w:sectPr w:rsidR="00A251D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86A0" w14:textId="77777777" w:rsidR="00271575" w:rsidRDefault="00271575">
      <w:r>
        <w:separator/>
      </w:r>
    </w:p>
  </w:endnote>
  <w:endnote w:type="continuationSeparator" w:id="0">
    <w:p w14:paraId="7FECB996" w14:textId="77777777" w:rsidR="00271575" w:rsidRDefault="0027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EF53" w14:textId="77777777" w:rsidR="002427EA" w:rsidRDefault="002427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C367" w14:textId="77777777" w:rsidR="002427EA"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2427EA" w:rsidRDefault="002427EA">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DB05" w14:textId="77777777" w:rsidR="002427EA" w:rsidRDefault="002427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EDA6" w14:textId="77777777" w:rsidR="00271575" w:rsidRDefault="00271575">
      <w:r>
        <w:separator/>
      </w:r>
    </w:p>
  </w:footnote>
  <w:footnote w:type="continuationSeparator" w:id="0">
    <w:p w14:paraId="20904365" w14:textId="77777777" w:rsidR="00271575" w:rsidRDefault="0027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323" w14:textId="77777777" w:rsidR="002427EA" w:rsidRDefault="002427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FE5" w14:textId="77777777" w:rsidR="002427EA" w:rsidRDefault="002427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5E81" w14:textId="77777777" w:rsidR="002427EA" w:rsidRDefault="002427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5D0E3756"/>
    <w:multiLevelType w:val="multilevel"/>
    <w:tmpl w:val="17E888B4"/>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8"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7"/>
  </w:num>
  <w:num w:numId="2" w16cid:durableId="1923831516">
    <w:abstractNumId w:val="13"/>
  </w:num>
  <w:num w:numId="3" w16cid:durableId="1105878229">
    <w:abstractNumId w:val="19"/>
  </w:num>
  <w:num w:numId="4" w16cid:durableId="1497112770">
    <w:abstractNumId w:val="8"/>
  </w:num>
  <w:num w:numId="5" w16cid:durableId="1836022324">
    <w:abstractNumId w:val="18"/>
  </w:num>
  <w:num w:numId="6" w16cid:durableId="531695206">
    <w:abstractNumId w:val="10"/>
  </w:num>
  <w:num w:numId="7" w16cid:durableId="1536045196">
    <w:abstractNumId w:val="16"/>
  </w:num>
  <w:num w:numId="8" w16cid:durableId="478110569">
    <w:abstractNumId w:val="0"/>
  </w:num>
  <w:num w:numId="9" w16cid:durableId="1140145850">
    <w:abstractNumId w:val="9"/>
  </w:num>
  <w:num w:numId="10" w16cid:durableId="858204966">
    <w:abstractNumId w:val="4"/>
  </w:num>
  <w:num w:numId="11" w16cid:durableId="1000043549">
    <w:abstractNumId w:val="15"/>
  </w:num>
  <w:num w:numId="12" w16cid:durableId="1390493249">
    <w:abstractNumId w:val="2"/>
  </w:num>
  <w:num w:numId="13" w16cid:durableId="473957613">
    <w:abstractNumId w:val="12"/>
  </w:num>
  <w:num w:numId="14" w16cid:durableId="1191911947">
    <w:abstractNumId w:val="3"/>
  </w:num>
  <w:num w:numId="15" w16cid:durableId="682783239">
    <w:abstractNumId w:val="11"/>
  </w:num>
  <w:num w:numId="16" w16cid:durableId="1546411453">
    <w:abstractNumId w:val="6"/>
  </w:num>
  <w:num w:numId="17" w16cid:durableId="680543642">
    <w:abstractNumId w:val="1"/>
  </w:num>
  <w:num w:numId="18" w16cid:durableId="1828326501">
    <w:abstractNumId w:val="5"/>
  </w:num>
  <w:num w:numId="19" w16cid:durableId="1285389033">
    <w:abstractNumId w:val="17"/>
  </w:num>
  <w:num w:numId="20" w16cid:durableId="91048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03E18"/>
    <w:rsid w:val="00147093"/>
    <w:rsid w:val="00147B31"/>
    <w:rsid w:val="001726A7"/>
    <w:rsid w:val="001A7EDF"/>
    <w:rsid w:val="001D435A"/>
    <w:rsid w:val="001D5581"/>
    <w:rsid w:val="00230C81"/>
    <w:rsid w:val="002332BA"/>
    <w:rsid w:val="00236A1D"/>
    <w:rsid w:val="002427EA"/>
    <w:rsid w:val="00257058"/>
    <w:rsid w:val="00266A77"/>
    <w:rsid w:val="00267CB7"/>
    <w:rsid w:val="00271575"/>
    <w:rsid w:val="002A7C62"/>
    <w:rsid w:val="002C114F"/>
    <w:rsid w:val="002D297F"/>
    <w:rsid w:val="003056F5"/>
    <w:rsid w:val="00307976"/>
    <w:rsid w:val="00351BB3"/>
    <w:rsid w:val="00363B28"/>
    <w:rsid w:val="003B621E"/>
    <w:rsid w:val="003C2C47"/>
    <w:rsid w:val="003E3D19"/>
    <w:rsid w:val="00414EFF"/>
    <w:rsid w:val="00436DAF"/>
    <w:rsid w:val="00454CB8"/>
    <w:rsid w:val="00462EEB"/>
    <w:rsid w:val="00472726"/>
    <w:rsid w:val="00473BDA"/>
    <w:rsid w:val="00481AD8"/>
    <w:rsid w:val="004C2674"/>
    <w:rsid w:val="004C5B52"/>
    <w:rsid w:val="004F342E"/>
    <w:rsid w:val="00516721"/>
    <w:rsid w:val="00542AFC"/>
    <w:rsid w:val="005540AB"/>
    <w:rsid w:val="00557B80"/>
    <w:rsid w:val="00567DF8"/>
    <w:rsid w:val="00576861"/>
    <w:rsid w:val="005B7468"/>
    <w:rsid w:val="005F3D15"/>
    <w:rsid w:val="005F52EA"/>
    <w:rsid w:val="00610CE7"/>
    <w:rsid w:val="0064087E"/>
    <w:rsid w:val="00655DC8"/>
    <w:rsid w:val="00663E23"/>
    <w:rsid w:val="00676E2B"/>
    <w:rsid w:val="00685519"/>
    <w:rsid w:val="006B66BD"/>
    <w:rsid w:val="006D2C5C"/>
    <w:rsid w:val="006F0859"/>
    <w:rsid w:val="00704211"/>
    <w:rsid w:val="00717A77"/>
    <w:rsid w:val="0072414B"/>
    <w:rsid w:val="007255DB"/>
    <w:rsid w:val="00725DB5"/>
    <w:rsid w:val="007541EE"/>
    <w:rsid w:val="00795518"/>
    <w:rsid w:val="007B1826"/>
    <w:rsid w:val="007D6F89"/>
    <w:rsid w:val="007E5E7B"/>
    <w:rsid w:val="007E6A3E"/>
    <w:rsid w:val="00815059"/>
    <w:rsid w:val="00816AE2"/>
    <w:rsid w:val="008B0AA7"/>
    <w:rsid w:val="008B4F8F"/>
    <w:rsid w:val="008B7B43"/>
    <w:rsid w:val="008F1B9D"/>
    <w:rsid w:val="00925DA4"/>
    <w:rsid w:val="00953E3B"/>
    <w:rsid w:val="0096301B"/>
    <w:rsid w:val="009B6876"/>
    <w:rsid w:val="009C29CA"/>
    <w:rsid w:val="009E1AE6"/>
    <w:rsid w:val="00A134A6"/>
    <w:rsid w:val="00A20702"/>
    <w:rsid w:val="00A251DC"/>
    <w:rsid w:val="00A74120"/>
    <w:rsid w:val="00A931CD"/>
    <w:rsid w:val="00AB6035"/>
    <w:rsid w:val="00AB62A1"/>
    <w:rsid w:val="00AD42DB"/>
    <w:rsid w:val="00B07E9E"/>
    <w:rsid w:val="00B14975"/>
    <w:rsid w:val="00B5298C"/>
    <w:rsid w:val="00B549E4"/>
    <w:rsid w:val="00B77935"/>
    <w:rsid w:val="00B819F8"/>
    <w:rsid w:val="00B82C0A"/>
    <w:rsid w:val="00BB4BC9"/>
    <w:rsid w:val="00BB759B"/>
    <w:rsid w:val="00C21B18"/>
    <w:rsid w:val="00C40788"/>
    <w:rsid w:val="00C45731"/>
    <w:rsid w:val="00C46B71"/>
    <w:rsid w:val="00C507C3"/>
    <w:rsid w:val="00C62CB3"/>
    <w:rsid w:val="00C658AC"/>
    <w:rsid w:val="00C92484"/>
    <w:rsid w:val="00CD50ED"/>
    <w:rsid w:val="00D01D20"/>
    <w:rsid w:val="00D21511"/>
    <w:rsid w:val="00D37F62"/>
    <w:rsid w:val="00D46ADD"/>
    <w:rsid w:val="00D773F5"/>
    <w:rsid w:val="00E22BA2"/>
    <w:rsid w:val="00E22DCC"/>
    <w:rsid w:val="00E34652"/>
    <w:rsid w:val="00E52C94"/>
    <w:rsid w:val="00E61EE2"/>
    <w:rsid w:val="00F06780"/>
    <w:rsid w:val="00F11E80"/>
    <w:rsid w:val="00F122CE"/>
    <w:rsid w:val="00F20C3C"/>
    <w:rsid w:val="00F317DD"/>
    <w:rsid w:val="00F33538"/>
    <w:rsid w:val="00F42D8D"/>
    <w:rsid w:val="00F94968"/>
    <w:rsid w:val="00F976C3"/>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7913</Words>
  <Characters>45107</Characters>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2023-08-04T16:52:00Z</dcterms:modified>
</cp:coreProperties>
</file>