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7833FDFE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536256AF" w14:textId="77777777" w:rsidR="00AA7A32" w:rsidRPr="00096247" w:rsidRDefault="00AA7A32" w:rsidP="00AA7A3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7EA462B8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036C234F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669347EB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B3AE161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5CE52C5D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Štátna pokladnica</w:t>
      </w:r>
    </w:p>
    <w:p w14:paraId="5EE3DBBA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667156A5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SPSRSKBA</w:t>
      </w:r>
    </w:p>
    <w:p w14:paraId="2515DD3F" w14:textId="2C71898A" w:rsidR="00AA7A32" w:rsidRPr="00ED75A6" w:rsidRDefault="00AA7A32" w:rsidP="000B19C1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0B19C1" w:rsidRPr="000B19C1">
        <w:rPr>
          <w:rFonts w:ascii="Times New Roman" w:hAnsi="Times New Roman"/>
          <w:sz w:val="24"/>
          <w:szCs w:val="24"/>
        </w:rPr>
        <w:t>...................................</w:t>
      </w:r>
    </w:p>
    <w:p w14:paraId="5BF28387" w14:textId="77777777" w:rsidR="00AA7A32" w:rsidRPr="00ED75A6" w:rsidRDefault="00AA7A32" w:rsidP="00AA7A32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1ACC271" w14:textId="77777777" w:rsidR="00AA7A32" w:rsidRPr="00ED75A6" w:rsidRDefault="00AA7A32" w:rsidP="00AA7A32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BAC07D8" w14:textId="77777777" w:rsidR="00AA7A32" w:rsidRPr="00ED75A6" w:rsidRDefault="00AA7A32" w:rsidP="00AA7A32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71B5DC69" w14:textId="40BF885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8D58B0C" w14:textId="5AD9856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3444292" w14:textId="0CB9D78E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CBAB481" w14:textId="3E95C326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AB8E0F" w14:textId="521368FD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D759D15" w14:textId="078173E3" w:rsidR="00AA7A32" w:rsidRPr="00ED75A6" w:rsidRDefault="00AA7A32" w:rsidP="00AA7A32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417FAFB" w14:textId="6D6E3573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7044C8B" w14:textId="0F805B99" w:rsidR="00AA7A32" w:rsidRPr="00ED75A6" w:rsidRDefault="00AA7A32" w:rsidP="00AA7A32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AF956C6" w14:textId="2A212623" w:rsidR="00AA7A32" w:rsidRPr="00ED75A6" w:rsidRDefault="00AA7A32" w:rsidP="00AA7A32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544123F" w14:textId="5AEA6C2C" w:rsidR="00AA7A32" w:rsidRPr="00ED75A6" w:rsidRDefault="00AA7A32" w:rsidP="00AA7A32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056846A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3A18BDE1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3A7476AC" w:rsidR="001D3D93" w:rsidRPr="006E3BAE" w:rsidRDefault="00F8685A" w:rsidP="00D43396">
      <w:pPr>
        <w:numPr>
          <w:ilvl w:val="0"/>
          <w:numId w:val="1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DC0337">
        <w:rPr>
          <w:rFonts w:ascii="Times New Roman" w:hAnsi="Times New Roman"/>
          <w:bCs/>
          <w:i/>
          <w:noProof/>
          <w:sz w:val="24"/>
          <w:szCs w:val="24"/>
        </w:rPr>
        <w:t>„P</w:t>
      </w:r>
      <w:r w:rsidR="000853FB" w:rsidRPr="000853FB">
        <w:rPr>
          <w:rFonts w:ascii="Times New Roman" w:hAnsi="Times New Roman"/>
          <w:bCs/>
          <w:i/>
          <w:noProof/>
          <w:sz w:val="24"/>
          <w:szCs w:val="24"/>
        </w:rPr>
        <w:t>odpora licencií na zabezpečenie monitorovania informačného systému pre správu registratúry“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853FB">
        <w:rPr>
          <w:rFonts w:ascii="Times New Roman" w:hAnsi="Times New Roman"/>
          <w:bCs/>
          <w:i/>
          <w:noProof/>
          <w:sz w:val="24"/>
          <w:szCs w:val="24"/>
        </w:rPr>
        <w:t>1</w:t>
      </w:r>
      <w:r w:rsidR="000B19C1">
        <w:rPr>
          <w:rFonts w:ascii="Times New Roman" w:hAnsi="Times New Roman"/>
          <w:bCs/>
          <w:i/>
          <w:noProof/>
          <w:sz w:val="24"/>
          <w:szCs w:val="24"/>
        </w:rPr>
        <w:t>5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D523042" w14:textId="77777777" w:rsidR="00E50734" w:rsidRDefault="00E50734" w:rsidP="00E50734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Ak ku dňu uzavretia Zmluvy budú Poskytovateľovi známi subdodávatelia, ktorých bude využívať pri plnení Zmluvy, bude uvedené:</w:t>
      </w:r>
    </w:p>
    <w:p w14:paraId="151220B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737D733A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EBA701B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16B9559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74D537E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4C88F2A6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CD19708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F9BE7B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B165C0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13D684D7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27B2FA5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183A5AA2" w14:textId="77777777" w:rsidR="00E50734" w:rsidRDefault="00E50734" w:rsidP="00E50734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52BE2060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A7967">
        <w:rPr>
          <w:rFonts w:ascii="Times New Roman" w:hAnsi="Times New Roman"/>
          <w:sz w:val="24"/>
          <w:szCs w:val="24"/>
        </w:rPr>
        <w:t>je</w:t>
      </w:r>
      <w:r w:rsidR="00CF4AEE" w:rsidRPr="004259F3">
        <w:rPr>
          <w:rFonts w:ascii="Times New Roman" w:hAnsi="Times New Roman"/>
          <w:sz w:val="24"/>
          <w:szCs w:val="24"/>
        </w:rPr>
        <w:t xml:space="preserve">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</w:t>
      </w:r>
      <w:r w:rsidR="0091533A">
        <w:rPr>
          <w:rFonts w:ascii="Times New Roman" w:hAnsi="Times New Roman"/>
          <w:bCs/>
          <w:sz w:val="24"/>
          <w:szCs w:val="24"/>
        </w:rPr>
        <w:t xml:space="preserve">zabezpečenie </w:t>
      </w:r>
      <w:r w:rsidR="00C3525A" w:rsidRPr="00C3525A">
        <w:rPr>
          <w:rFonts w:ascii="Times New Roman" w:hAnsi="Times New Roman"/>
          <w:bCs/>
          <w:sz w:val="24"/>
          <w:szCs w:val="24"/>
        </w:rPr>
        <w:t>monitorovania informačného systému pre správu registratúry</w:t>
      </w:r>
      <w:r w:rsidR="00000EEB">
        <w:rPr>
          <w:rFonts w:ascii="Times New Roman" w:hAnsi="Times New Roman"/>
          <w:bCs/>
          <w:sz w:val="24"/>
          <w:szCs w:val="24"/>
        </w:rPr>
        <w:t>,</w:t>
      </w:r>
      <w:r w:rsidR="00D111C1" w:rsidRPr="004259F3">
        <w:rPr>
          <w:rFonts w:ascii="Times New Roman" w:hAnsi="Times New Roman"/>
          <w:sz w:val="24"/>
          <w:szCs w:val="24"/>
        </w:rPr>
        <w:t xml:space="preserve"> </w:t>
      </w:r>
      <w:r w:rsidR="00000EEB">
        <w:rPr>
          <w:rFonts w:ascii="Times New Roman" w:hAnsi="Times New Roman"/>
          <w:sz w:val="24"/>
          <w:szCs w:val="24"/>
        </w:rPr>
        <w:t>ako je uvedené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3F8DBDA" w14:textId="006170C8" w:rsidR="003B673B" w:rsidRPr="003B673B" w:rsidRDefault="003B673B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3B673B">
        <w:rPr>
          <w:rFonts w:ascii="Times New Roman" w:hAnsi="Times New Roman"/>
          <w:sz w:val="24"/>
          <w:szCs w:val="24"/>
        </w:rPr>
        <w:t>O</w:t>
      </w:r>
      <w:r w:rsidR="000B19C1">
        <w:rPr>
          <w:rFonts w:ascii="Times New Roman" w:hAnsi="Times New Roman"/>
          <w:sz w:val="24"/>
          <w:szCs w:val="24"/>
        </w:rPr>
        <w:t>bjednávateľ:</w:t>
      </w:r>
    </w:p>
    <w:p w14:paraId="5822E0AB" w14:textId="0AEE1DA0" w:rsidR="003B673B" w:rsidRDefault="000B19C1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Dodávateľ:</w:t>
      </w:r>
    </w:p>
    <w:p w14:paraId="7FD22E4B" w14:textId="647E30CC" w:rsidR="00FF5968" w:rsidRPr="00FF5968" w:rsidRDefault="00FF5968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5C62B646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0B19C1">
        <w:rPr>
          <w:rFonts w:ascii="Times New Roman" w:hAnsi="Times New Roman"/>
          <w:sz w:val="24"/>
          <w:szCs w:val="24"/>
        </w:rPr>
        <w:t>Prílohe</w:t>
      </w:r>
      <w:r w:rsidR="00965767" w:rsidRPr="000B19C1">
        <w:rPr>
          <w:rFonts w:ascii="Times New Roman" w:hAnsi="Times New Roman"/>
          <w:sz w:val="24"/>
          <w:szCs w:val="24"/>
        </w:rPr>
        <w:t xml:space="preserve"> </w:t>
      </w:r>
      <w:r w:rsidR="009C7A3E">
        <w:rPr>
          <w:rFonts w:ascii="Times New Roman" w:hAnsi="Times New Roman"/>
          <w:sz w:val="24"/>
          <w:szCs w:val="24"/>
        </w:rPr>
        <w:t>v priebehu mesiaca november 2023.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71C60975" w:rsidR="00517C38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161F912A" w:rsidR="00410E6E" w:rsidRPr="003B673B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dohodnutá vo výške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</w:t>
      </w:r>
      <w:r w:rsid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C24B8" w:rsidRPr="003B673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3B673B">
        <w:rPr>
          <w:rFonts w:ascii="Times New Roman" w:eastAsia="Times New Roman" w:hAnsi="Times New Roman"/>
          <w:sz w:val="24"/>
          <w:szCs w:val="24"/>
        </w:rPr>
        <w:t xml:space="preserve"> </w:t>
      </w:r>
      <w:r w:rsidR="002B4A57">
        <w:rPr>
          <w:rFonts w:ascii="Times New Roman" w:eastAsia="Times New Roman" w:hAnsi="Times New Roman"/>
          <w:sz w:val="24"/>
          <w:szCs w:val="24"/>
        </w:rPr>
        <w:t xml:space="preserve">čo predstavuje ............. </w:t>
      </w:r>
      <w:r w:rsidR="000C24B8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EUR s DPH (slovom: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="000C24B8" w:rsidRPr="003B673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B673B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B673B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4549318D" w:rsidR="003B673B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08B8DAC2" w:rsidR="00410E6E" w:rsidRPr="003B673B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3B673B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2B4F0FC1" w:rsidR="00517C38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700090A6" w14:textId="57582815" w:rsidR="00990CC0" w:rsidRPr="0057786B" w:rsidRDefault="00990CC0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376445EE" w:rsidR="00410E6E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CDB9D3F" w14:textId="77777777" w:rsidR="003B673B" w:rsidRPr="00096247" w:rsidRDefault="003B673B" w:rsidP="003B673B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lastRenderedPageBreak/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47FD872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09445" w14:textId="44A54CCB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A8B1400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A39898" w14:textId="2041E21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409B6CD4" w:rsidR="003B673B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8A0E579" w14:textId="77777777" w:rsidR="00CA796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901AD0" w14:textId="77777777" w:rsidR="00CA7967" w:rsidRPr="0009624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C700289" w14:textId="77777777" w:rsidR="00CA7967" w:rsidRDefault="00CA7967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05834B3" w14:textId="2665DA2F" w:rsidR="003B673B" w:rsidRPr="00096247" w:rsidRDefault="003B673B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4105"/>
        <w:gridCol w:w="1554"/>
        <w:gridCol w:w="2415"/>
        <w:gridCol w:w="1695"/>
        <w:gridCol w:w="2983"/>
      </w:tblGrid>
      <w:tr w:rsidR="000470C7" w:rsidRPr="00F93997" w14:paraId="0D895B96" w14:textId="77777777" w:rsidTr="00BE412E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470C7" w:rsidRPr="00F93997" w:rsidRDefault="000470C7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0470C7" w:rsidRPr="00F93997" w:rsidRDefault="000470C7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36C4712C" w:rsidR="000470C7" w:rsidRPr="00F93997" w:rsidRDefault="000470C7" w:rsidP="00DF136F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7BE044B9" w:rsidR="000470C7" w:rsidRPr="00F93997" w:rsidRDefault="000470C7" w:rsidP="00CA7967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  <w:r w:rsidR="0016325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resp. počet používateľov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470C7" w:rsidRPr="00F93997" w:rsidRDefault="000470C7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2A592119" w:rsidR="000470C7" w:rsidRPr="00F93997" w:rsidRDefault="000470C7" w:rsidP="00CA7967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.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="0071299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resp. poč</w:t>
            </w:r>
            <w:r w:rsidR="00BE412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</w:t>
            </w:r>
            <w:r w:rsidR="0071299A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</w:t>
            </w:r>
            <w:bookmarkStart w:id="1" w:name="_GoBack"/>
            <w:bookmarkEnd w:id="1"/>
            <w:r w:rsidR="00BE412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používateľov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470C7" w:rsidRPr="00F93997" w14:paraId="2DC5106D" w14:textId="77777777" w:rsidTr="00BE412E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28" w14:textId="3312AB0D" w:rsidR="000470C7" w:rsidRDefault="00CA796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2AA7" w14:textId="28753D31" w:rsidR="00C5772E" w:rsidRPr="00C5772E" w:rsidRDefault="00C5772E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  <w:b/>
              </w:rPr>
            </w:pPr>
            <w:proofErr w:type="spellStart"/>
            <w:r w:rsidRPr="00C5772E">
              <w:rPr>
                <w:rFonts w:ascii="Times New Roman" w:eastAsiaTheme="minorHAnsi" w:hAnsi="Times New Roman"/>
                <w:b/>
              </w:rPr>
              <w:t>Fabasoft</w:t>
            </w:r>
            <w:proofErr w:type="spellEnd"/>
            <w:r w:rsidRPr="00C5772E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C5772E">
              <w:rPr>
                <w:rFonts w:ascii="Times New Roman" w:eastAsiaTheme="minorHAnsi" w:hAnsi="Times New Roman"/>
                <w:b/>
              </w:rPr>
              <w:t>App</w:t>
            </w:r>
            <w:proofErr w:type="spellEnd"/>
            <w:r w:rsidRPr="00C5772E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C5772E">
              <w:rPr>
                <w:rFonts w:ascii="Times New Roman" w:eastAsiaTheme="minorHAnsi" w:hAnsi="Times New Roman"/>
                <w:b/>
              </w:rPr>
              <w:t>Telemetry</w:t>
            </w:r>
            <w:proofErr w:type="spellEnd"/>
            <w:r w:rsidRPr="00C5772E">
              <w:rPr>
                <w:rFonts w:ascii="Times New Roman" w:eastAsiaTheme="minorHAnsi" w:hAnsi="Times New Roman"/>
                <w:b/>
              </w:rPr>
              <w:t xml:space="preserve"> </w:t>
            </w:r>
            <w:proofErr w:type="spellStart"/>
            <w:r w:rsidRPr="00C5772E">
              <w:rPr>
                <w:rFonts w:ascii="Times New Roman" w:eastAsiaTheme="minorHAnsi" w:hAnsi="Times New Roman"/>
                <w:b/>
              </w:rPr>
              <w:t>maitenance</w:t>
            </w:r>
            <w:proofErr w:type="spellEnd"/>
          </w:p>
          <w:p w14:paraId="249DC57E" w14:textId="77777777" w:rsidR="00C5772E" w:rsidRDefault="00C5772E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  <w:p w14:paraId="56124416" w14:textId="0A15899E" w:rsid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 xml:space="preserve">Podpora pre </w:t>
            </w:r>
            <w:r w:rsidR="00CA7967">
              <w:rPr>
                <w:rFonts w:ascii="Times New Roman" w:eastAsiaTheme="minorHAnsi" w:hAnsi="Times New Roman"/>
              </w:rPr>
              <w:t xml:space="preserve">existujúce licencie </w:t>
            </w:r>
            <w:proofErr w:type="spellStart"/>
            <w:r w:rsidR="00CA7967">
              <w:rPr>
                <w:rFonts w:ascii="Times New Roman" w:eastAsiaTheme="minorHAnsi" w:hAnsi="Times New Roman"/>
              </w:rPr>
              <w:t>Fabasoft</w:t>
            </w:r>
            <w:proofErr w:type="spellEnd"/>
            <w:r w:rsidR="00CA7967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CA7967">
              <w:rPr>
                <w:rFonts w:ascii="Times New Roman" w:eastAsiaTheme="minorHAnsi" w:hAnsi="Times New Roman"/>
              </w:rPr>
              <w:t>App</w:t>
            </w:r>
            <w:proofErr w:type="spellEnd"/>
            <w:r w:rsidR="00CA7967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CA7967">
              <w:rPr>
                <w:rFonts w:ascii="Times New Roman" w:eastAsiaTheme="minorHAnsi" w:hAnsi="Times New Roman"/>
              </w:rPr>
              <w:t>Telemetry</w:t>
            </w:r>
            <w:proofErr w:type="spellEnd"/>
            <w:r w:rsidRPr="00CF19DA">
              <w:rPr>
                <w:rFonts w:ascii="Times New Roman" w:eastAsiaTheme="minorHAnsi" w:hAnsi="Times New Roman"/>
              </w:rPr>
              <w:t xml:space="preserve"> zahŕňa:</w:t>
            </w:r>
          </w:p>
          <w:p w14:paraId="774D275F" w14:textId="77777777" w:rsidR="00CA7967" w:rsidRPr="00CF19DA" w:rsidRDefault="00CA7967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  <w:p w14:paraId="15CAEE70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 xml:space="preserve">- nárok na aktuálne verzie a </w:t>
            </w:r>
            <w:proofErr w:type="spellStart"/>
            <w:r w:rsidRPr="00CF19DA">
              <w:rPr>
                <w:rFonts w:ascii="Times New Roman" w:eastAsiaTheme="minorHAnsi" w:hAnsi="Times New Roman"/>
              </w:rPr>
              <w:t>release</w:t>
            </w:r>
            <w:proofErr w:type="spellEnd"/>
            <w:r w:rsidRPr="00CF19DA">
              <w:rPr>
                <w:rFonts w:ascii="Times New Roman" w:eastAsiaTheme="minorHAnsi" w:hAnsi="Times New Roman"/>
              </w:rPr>
              <w:t xml:space="preserve"> základného softvérového produktu,</w:t>
            </w:r>
          </w:p>
          <w:p w14:paraId="252A0E7D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- sprístupnenie programov  na nosiči dát s návodom na inštaláciu a popisom vecných a technických zmien vo vzťahu k hlavným funkciám systému,</w:t>
            </w:r>
          </w:p>
          <w:p w14:paraId="597A960B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- nové vydania a dodatky základného softvérového produktu budú  ponúknuté v primeranom časovom rozpätí podľa ich dispozície,</w:t>
            </w:r>
          </w:p>
          <w:p w14:paraId="7CBAAB47" w14:textId="77777777" w:rsidR="00A45394" w:rsidRDefault="00CF19DA" w:rsidP="00C5772E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- najnovšie softvérové informácie, ktoré umožnia korektné využitie základného softvérového produktu</w:t>
            </w:r>
          </w:p>
          <w:p w14:paraId="316DB1E6" w14:textId="44E7692D" w:rsidR="00C5772E" w:rsidRPr="00354F28" w:rsidRDefault="00C5772E" w:rsidP="00C5772E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826A" w14:textId="224AACF8" w:rsidR="00DF136F" w:rsidRDefault="003136EB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DF136F">
              <w:rPr>
                <w:rFonts w:ascii="Times New Roman" w:eastAsiaTheme="minorHAnsi" w:hAnsi="Times New Roman"/>
                <w:color w:val="000000"/>
              </w:rPr>
              <w:t>01.01.2024</w:t>
            </w:r>
          </w:p>
          <w:p w14:paraId="584E9673" w14:textId="4DEFFB08" w:rsidR="000470C7" w:rsidRDefault="003136EB" w:rsidP="003136E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do </w:t>
            </w:r>
            <w:r w:rsidR="00CA7967">
              <w:rPr>
                <w:rFonts w:ascii="Times New Roman" w:eastAsiaTheme="minorHAnsi" w:hAnsi="Times New Roman"/>
                <w:color w:val="000000"/>
              </w:rPr>
              <w:t>31.12.2024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2C4" w14:textId="4A111535" w:rsidR="000470C7" w:rsidRDefault="00CF19DA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A45394">
              <w:rPr>
                <w:rFonts w:ascii="Times New Roman" w:eastAsiaTheme="minorHAnsi" w:hAnsi="Times New Roman"/>
                <w:color w:val="000000"/>
              </w:rPr>
              <w:t>3</w:t>
            </w:r>
            <w:r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614" w14:textId="67EBA193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150B" w14:textId="52B889A1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010C4C65" w14:textId="04860916" w:rsidTr="00BE412E">
        <w:trPr>
          <w:gridAfter w:val="3"/>
          <w:wAfter w:w="7093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00C880E" w:rsidR="000470C7" w:rsidRPr="00C5772E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470C7" w:rsidRPr="00F93997" w14:paraId="3B052AD5" w14:textId="079C4D6D" w:rsidTr="00BE412E">
        <w:trPr>
          <w:gridAfter w:val="3"/>
          <w:wAfter w:w="7093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FB7D8CE" w14:textId="5D98D044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7CF118BA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7129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71299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7129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648C94D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0B19C1">
      <w:rPr>
        <w:rFonts w:ascii="Times New Roman" w:hAnsi="Times New Roman"/>
        <w:b/>
        <w:bCs/>
        <w:sz w:val="20"/>
        <w:szCs w:val="20"/>
        <w:lang w:val="sk-SK"/>
      </w:rPr>
      <w:t>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71299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30158499" w:rsidR="00B74E30" w:rsidRPr="009C7A3E" w:rsidRDefault="00AA468A" w:rsidP="00B74E30">
    <w:pPr>
      <w:pStyle w:val="Hlavika"/>
      <w:jc w:val="right"/>
      <w:rPr>
        <w:rFonts w:ascii="Times New Roman" w:hAnsi="Times New Roman"/>
        <w:b/>
        <w:sz w:val="20"/>
        <w:szCs w:val="20"/>
      </w:rPr>
    </w:pPr>
    <w:r w:rsidRPr="009C7A3E">
      <w:rPr>
        <w:rFonts w:ascii="Times New Roman" w:hAnsi="Times New Roman"/>
        <w:b/>
        <w:sz w:val="20"/>
        <w:szCs w:val="20"/>
      </w:rPr>
      <w:t xml:space="preserve">Príloha k Zmluve o zabezpečení </w:t>
    </w:r>
    <w:r w:rsidR="000470C7" w:rsidRPr="009C7A3E">
      <w:rPr>
        <w:rFonts w:ascii="Times New Roman" w:hAnsi="Times New Roman"/>
        <w:b/>
        <w:sz w:val="20"/>
        <w:szCs w:val="20"/>
        <w:lang w:val="sk-SK"/>
      </w:rPr>
      <w:t xml:space="preserve">licencií a </w:t>
    </w:r>
    <w:r w:rsidRPr="009C7A3E">
      <w:rPr>
        <w:rFonts w:ascii="Times New Roman" w:hAnsi="Times New Roman"/>
        <w:b/>
        <w:sz w:val="20"/>
        <w:szCs w:val="20"/>
      </w:rPr>
      <w:t xml:space="preserve">podpory číslo </w:t>
    </w:r>
    <w:r w:rsidR="000B19C1" w:rsidRPr="009C7A3E">
      <w:rPr>
        <w:rFonts w:ascii="Times New Roman" w:hAnsi="Times New Roman"/>
        <w:b/>
        <w:sz w:val="20"/>
        <w:szCs w:val="20"/>
      </w:rPr>
      <w:t>.................................</w:t>
    </w:r>
  </w:p>
  <w:p w14:paraId="448CB86D" w14:textId="5396538E" w:rsidR="009C7A3E" w:rsidRPr="009C7A3E" w:rsidRDefault="009C7A3E" w:rsidP="009C7A3E">
    <w:pPr>
      <w:pStyle w:val="Hlavika"/>
      <w:jc w:val="center"/>
      <w:rPr>
        <w:rFonts w:ascii="Times New Roman" w:hAnsi="Times New Roman"/>
        <w:b/>
      </w:rPr>
    </w:pPr>
    <w:r w:rsidRPr="009C7A3E">
      <w:rPr>
        <w:rFonts w:ascii="Times New Roman" w:hAnsi="Times New Roman"/>
        <w:b/>
        <w:sz w:val="24"/>
        <w:szCs w:val="24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7129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07AB"/>
    <w:multiLevelType w:val="hybridMultilevel"/>
    <w:tmpl w:val="1876B7D8"/>
    <w:lvl w:ilvl="0" w:tplc="15329D7C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23F4D0DA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48"/>
  </w:num>
  <w:num w:numId="3">
    <w:abstractNumId w:val="5"/>
  </w:num>
  <w:num w:numId="4">
    <w:abstractNumId w:val="39"/>
  </w:num>
  <w:num w:numId="5">
    <w:abstractNumId w:val="23"/>
  </w:num>
  <w:num w:numId="6">
    <w:abstractNumId w:val="41"/>
  </w:num>
  <w:num w:numId="7">
    <w:abstractNumId w:val="9"/>
  </w:num>
  <w:num w:numId="8">
    <w:abstractNumId w:val="45"/>
  </w:num>
  <w:num w:numId="9">
    <w:abstractNumId w:val="17"/>
  </w:num>
  <w:num w:numId="10">
    <w:abstractNumId w:val="40"/>
  </w:num>
  <w:num w:numId="11">
    <w:abstractNumId w:val="11"/>
  </w:num>
  <w:num w:numId="12">
    <w:abstractNumId w:val="27"/>
  </w:num>
  <w:num w:numId="13">
    <w:abstractNumId w:val="38"/>
  </w:num>
  <w:num w:numId="14">
    <w:abstractNumId w:val="21"/>
  </w:num>
  <w:num w:numId="15">
    <w:abstractNumId w:val="47"/>
  </w:num>
  <w:num w:numId="16">
    <w:abstractNumId w:val="30"/>
  </w:num>
  <w:num w:numId="17">
    <w:abstractNumId w:val="26"/>
  </w:num>
  <w:num w:numId="18">
    <w:abstractNumId w:val="10"/>
  </w:num>
  <w:num w:numId="19">
    <w:abstractNumId w:val="18"/>
  </w:num>
  <w:num w:numId="20">
    <w:abstractNumId w:val="7"/>
  </w:num>
  <w:num w:numId="21">
    <w:abstractNumId w:val="33"/>
  </w:num>
  <w:num w:numId="22">
    <w:abstractNumId w:val="2"/>
  </w:num>
  <w:num w:numId="23">
    <w:abstractNumId w:val="4"/>
  </w:num>
  <w:num w:numId="24">
    <w:abstractNumId w:val="37"/>
  </w:num>
  <w:num w:numId="25">
    <w:abstractNumId w:val="12"/>
  </w:num>
  <w:num w:numId="26">
    <w:abstractNumId w:val="46"/>
  </w:num>
  <w:num w:numId="27">
    <w:abstractNumId w:val="34"/>
  </w:num>
  <w:num w:numId="28">
    <w:abstractNumId w:val="28"/>
  </w:num>
  <w:num w:numId="29">
    <w:abstractNumId w:val="36"/>
  </w:num>
  <w:num w:numId="30">
    <w:abstractNumId w:val="32"/>
  </w:num>
  <w:num w:numId="31">
    <w:abstractNumId w:val="29"/>
  </w:num>
  <w:num w:numId="32">
    <w:abstractNumId w:val="13"/>
  </w:num>
  <w:num w:numId="33">
    <w:abstractNumId w:val="0"/>
  </w:num>
  <w:num w:numId="34">
    <w:abstractNumId w:val="43"/>
  </w:num>
  <w:num w:numId="35">
    <w:abstractNumId w:val="22"/>
  </w:num>
  <w:num w:numId="36">
    <w:abstractNumId w:val="14"/>
  </w:num>
  <w:num w:numId="37">
    <w:abstractNumId w:val="25"/>
  </w:num>
  <w:num w:numId="38">
    <w:abstractNumId w:val="42"/>
  </w:num>
  <w:num w:numId="39">
    <w:abstractNumId w:val="16"/>
  </w:num>
  <w:num w:numId="40">
    <w:abstractNumId w:val="19"/>
  </w:num>
  <w:num w:numId="41">
    <w:abstractNumId w:val="1"/>
  </w:num>
  <w:num w:numId="42">
    <w:abstractNumId w:val="8"/>
  </w:num>
  <w:num w:numId="43">
    <w:abstractNumId w:val="15"/>
  </w:num>
  <w:num w:numId="44">
    <w:abstractNumId w:val="24"/>
  </w:num>
  <w:num w:numId="45">
    <w:abstractNumId w:val="44"/>
  </w:num>
  <w:num w:numId="46">
    <w:abstractNumId w:val="6"/>
  </w:num>
  <w:num w:numId="47">
    <w:abstractNumId w:val="35"/>
  </w:num>
  <w:num w:numId="48">
    <w:abstractNumId w:val="31"/>
  </w:num>
  <w:num w:numId="49">
    <w:abstractNumId w:val="3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0EEB"/>
    <w:rsid w:val="00001679"/>
    <w:rsid w:val="00001BFA"/>
    <w:rsid w:val="000025C9"/>
    <w:rsid w:val="00002D74"/>
    <w:rsid w:val="00002F5E"/>
    <w:rsid w:val="000032FF"/>
    <w:rsid w:val="0000534F"/>
    <w:rsid w:val="00005E63"/>
    <w:rsid w:val="00010B95"/>
    <w:rsid w:val="000117F2"/>
    <w:rsid w:val="0001472C"/>
    <w:rsid w:val="00017BEB"/>
    <w:rsid w:val="00017D66"/>
    <w:rsid w:val="00020121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470C7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3FB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9C1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21DA"/>
    <w:rsid w:val="00153D50"/>
    <w:rsid w:val="001540F8"/>
    <w:rsid w:val="001563AB"/>
    <w:rsid w:val="00156F14"/>
    <w:rsid w:val="001623B9"/>
    <w:rsid w:val="001625B6"/>
    <w:rsid w:val="0016325F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AFB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4A57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36EB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673B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423D"/>
    <w:rsid w:val="004C538D"/>
    <w:rsid w:val="004C6473"/>
    <w:rsid w:val="004C6520"/>
    <w:rsid w:val="004D0A0F"/>
    <w:rsid w:val="004D12BB"/>
    <w:rsid w:val="004D1F92"/>
    <w:rsid w:val="004E0054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17C38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1B3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07015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299A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33A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7A3E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2C9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394"/>
    <w:rsid w:val="00A45A27"/>
    <w:rsid w:val="00A474D7"/>
    <w:rsid w:val="00A514AA"/>
    <w:rsid w:val="00A52129"/>
    <w:rsid w:val="00A53A7E"/>
    <w:rsid w:val="00A54328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A7A32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E71C6"/>
    <w:rsid w:val="00AF0BC1"/>
    <w:rsid w:val="00AF224D"/>
    <w:rsid w:val="00AF273B"/>
    <w:rsid w:val="00AF3096"/>
    <w:rsid w:val="00AF3E78"/>
    <w:rsid w:val="00AF59FC"/>
    <w:rsid w:val="00B00F40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1C92"/>
    <w:rsid w:val="00BD3651"/>
    <w:rsid w:val="00BD5053"/>
    <w:rsid w:val="00BD53E9"/>
    <w:rsid w:val="00BD5E96"/>
    <w:rsid w:val="00BD7448"/>
    <w:rsid w:val="00BE412E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25A"/>
    <w:rsid w:val="00C353EC"/>
    <w:rsid w:val="00C35657"/>
    <w:rsid w:val="00C36D9D"/>
    <w:rsid w:val="00C4155E"/>
    <w:rsid w:val="00C441DE"/>
    <w:rsid w:val="00C47330"/>
    <w:rsid w:val="00C47CAD"/>
    <w:rsid w:val="00C535CE"/>
    <w:rsid w:val="00C5772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A7967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9DA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396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0337"/>
    <w:rsid w:val="00DC2564"/>
    <w:rsid w:val="00DC29D9"/>
    <w:rsid w:val="00DC5DE2"/>
    <w:rsid w:val="00DC7B13"/>
    <w:rsid w:val="00DD1A85"/>
    <w:rsid w:val="00DD6569"/>
    <w:rsid w:val="00DD6E2D"/>
    <w:rsid w:val="00DE013D"/>
    <w:rsid w:val="00DE2D1B"/>
    <w:rsid w:val="00DE61CA"/>
    <w:rsid w:val="00DF136F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0734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6A1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C5F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067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28FC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A699B5-8D14-403B-9E2A-75080B85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2023-07-06T12:18:00Z</dcterms:created>
  <dcterms:modified xsi:type="dcterms:W3CDTF">2023-07-26T09:51:00Z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