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6A795736"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A901BC">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56BF69E0"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A901BC">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755471">
        <w:rPr>
          <w:rFonts w:ascii="Arial Narrow" w:eastAsia="Arial" w:hAnsi="Arial Narrow"/>
        </w:rPr>
        <w:lastRenderedPageBreak/>
        <w:t>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ED543B">
        <w:rPr>
          <w:rFonts w:ascii="Arial Narrow" w:eastAsia="Arial" w:hAnsi="Arial Narrow"/>
          <w:b/>
          <w:color w:val="FF0000"/>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A7D1F24"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w:t>
      </w:r>
      <w:r w:rsidR="0042463F">
        <w:rPr>
          <w:rFonts w:ascii="Arial Narrow" w:hAnsi="Arial Narrow" w:cs="Tahoma"/>
        </w:rPr>
        <w:t xml:space="preserve">sm. d) a ods. 2 písm. d) zákona. </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1BBF4C51"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14DF8B2E" w14:textId="77777777" w:rsidR="00BE0F7F" w:rsidRDefault="00BE0F7F"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rPr>
      </w:pPr>
      <w:r w:rsidRPr="00FC70A5">
        <w:rPr>
          <w:rFonts w:ascii="Arial Narrow" w:hAnsi="Arial Narrow"/>
          <w:bCs/>
        </w:rPr>
        <w:t>Neaplikuje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1ACA1B3" w14:textId="171FD6F6" w:rsidR="005924C0" w:rsidRDefault="005924C0" w:rsidP="005924C0">
      <w:pPr>
        <w:pStyle w:val="Odsekzoznamu"/>
        <w:spacing w:after="0" w:line="240" w:lineRule="auto"/>
        <w:ind w:left="0"/>
        <w:contextualSpacing w:val="0"/>
        <w:jc w:val="both"/>
        <w:rPr>
          <w:rFonts w:ascii="Arial Narrow" w:hAnsi="Arial Narrow"/>
          <w:b/>
          <w:lang w:eastAsia="sk-SK"/>
        </w:rPr>
      </w:pPr>
    </w:p>
    <w:p w14:paraId="7399486B" w14:textId="77777777" w:rsidR="00A901BC" w:rsidRPr="000323E7" w:rsidRDefault="00A901BC" w:rsidP="00A901BC">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5A7C205D" w14:textId="77777777" w:rsidR="00A901BC" w:rsidRPr="008B538F" w:rsidRDefault="00A901BC" w:rsidP="00A901BC">
      <w:pPr>
        <w:pStyle w:val="Odsekzoznamu"/>
        <w:spacing w:after="0" w:line="240" w:lineRule="auto"/>
        <w:ind w:left="0"/>
        <w:contextualSpacing w:val="0"/>
        <w:rPr>
          <w:rFonts w:ascii="Arial Narrow" w:hAnsi="Arial Narrow"/>
          <w:b/>
          <w:lang w:eastAsia="sk-SK"/>
        </w:rPr>
      </w:pPr>
    </w:p>
    <w:p w14:paraId="66F27469" w14:textId="5788A0B2" w:rsidR="00A901BC" w:rsidRPr="000323E7" w:rsidRDefault="00A901BC" w:rsidP="00A901BC">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predchádzajúc</w:t>
      </w:r>
      <w:r>
        <w:rPr>
          <w:rFonts w:ascii="Arial Narrow" w:hAnsi="Arial Narrow"/>
          <w:b/>
          <w:lang w:eastAsia="sk-SK"/>
        </w:rPr>
        <w:t>ich</w:t>
      </w:r>
      <w:r w:rsidRPr="008E2A79">
        <w:rPr>
          <w:rFonts w:ascii="Arial Narrow" w:hAnsi="Arial Narrow"/>
          <w:b/>
          <w:lang w:eastAsia="sk-SK"/>
        </w:rPr>
        <w:t xml:space="preserve"> </w:t>
      </w:r>
      <w:r>
        <w:rPr>
          <w:rFonts w:ascii="Arial Narrow" w:hAnsi="Arial Narrow"/>
          <w:b/>
          <w:lang w:eastAsia="sk-SK"/>
        </w:rPr>
        <w:t>päť rokov</w:t>
      </w:r>
      <w:r w:rsidRPr="008E2A79">
        <w:rPr>
          <w:rFonts w:ascii="Arial Narrow" w:hAnsi="Arial Narrow"/>
          <w:b/>
          <w:lang w:eastAsia="sk-SK"/>
        </w:rPr>
        <w:t xml:space="preserve"> </w:t>
      </w:r>
      <w:r>
        <w:rPr>
          <w:rFonts w:ascii="Arial Narrow" w:hAnsi="Arial Narrow"/>
          <w:b/>
          <w:lang w:eastAsia="sk-SK"/>
        </w:rPr>
        <w:b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7E68DE2C" w14:textId="77777777" w:rsidR="00A901BC" w:rsidRDefault="00A901BC" w:rsidP="00A901BC">
      <w:pPr>
        <w:pStyle w:val="Odsekzoznamu"/>
        <w:spacing w:after="0" w:line="240" w:lineRule="auto"/>
        <w:ind w:left="0"/>
        <w:contextualSpacing w:val="0"/>
        <w:rPr>
          <w:rFonts w:ascii="Arial Narrow" w:hAnsi="Arial Narrow"/>
          <w:b/>
          <w:lang w:eastAsia="sk-SK"/>
        </w:rPr>
      </w:pPr>
    </w:p>
    <w:p w14:paraId="18202BC2" w14:textId="77777777" w:rsidR="00A901BC" w:rsidRPr="008E2A79" w:rsidRDefault="00A901BC" w:rsidP="00A901BC">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253B6900" w14:textId="77777777" w:rsidR="00A901BC" w:rsidRDefault="00A901BC" w:rsidP="00A901BC">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7337EF53" w14:textId="77777777" w:rsidR="00A901BC" w:rsidRDefault="00A901BC" w:rsidP="00A901BC">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43E54A8C" w14:textId="77777777" w:rsidR="00A901BC" w:rsidRDefault="00A901BC" w:rsidP="00A901BC">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4E69BF64" w14:textId="77777777" w:rsidR="00A901BC" w:rsidRDefault="00A901BC" w:rsidP="00A901BC">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49E033B2" w14:textId="77777777" w:rsidR="00A901BC" w:rsidRPr="009A66A2" w:rsidRDefault="00A901BC" w:rsidP="00A901BC">
      <w:pPr>
        <w:pStyle w:val="Odsekzoznamu"/>
        <w:numPr>
          <w:ilvl w:val="1"/>
          <w:numId w:val="20"/>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392C21BC" w14:textId="77777777" w:rsidR="00A901BC" w:rsidRDefault="00A901BC" w:rsidP="00A901BC">
      <w:pPr>
        <w:pStyle w:val="Odsekzoznamu"/>
        <w:spacing w:after="0" w:line="240" w:lineRule="auto"/>
        <w:ind w:left="0"/>
        <w:contextualSpacing w:val="0"/>
        <w:rPr>
          <w:rFonts w:ascii="Arial Narrow" w:hAnsi="Arial Narrow"/>
          <w:b/>
          <w:lang w:eastAsia="sk-SK"/>
        </w:rPr>
      </w:pPr>
    </w:p>
    <w:p w14:paraId="6D16FC9D" w14:textId="77777777" w:rsidR="00A901BC" w:rsidRPr="00133A84" w:rsidRDefault="00A901BC" w:rsidP="00A901BC">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25E612A4" w14:textId="5FBBA2B7" w:rsidR="00A901BC" w:rsidRDefault="00A901BC" w:rsidP="00A901BC">
      <w:pPr>
        <w:pStyle w:val="Odsekzoznamu"/>
        <w:spacing w:after="0" w:line="240" w:lineRule="auto"/>
        <w:ind w:left="0"/>
        <w:contextualSpacing w:val="0"/>
        <w:jc w:val="both"/>
        <w:rPr>
          <w:rFonts w:ascii="Arial Narrow" w:hAnsi="Arial Narrow"/>
          <w:b/>
          <w:lang w:eastAsia="sk-SK"/>
        </w:rPr>
      </w:pPr>
      <w:r w:rsidRPr="00BC32B4">
        <w:rPr>
          <w:rFonts w:ascii="Arial Narrow" w:hAnsi="Arial Narrow"/>
          <w:b/>
          <w:lang w:eastAsia="sk-SK"/>
        </w:rPr>
        <w:t xml:space="preserve">Uchádzač musí preukázať dodanie </w:t>
      </w:r>
      <w:r w:rsidRPr="00BC32B4">
        <w:rPr>
          <w:rFonts w:ascii="Arial Narrow" w:hAnsi="Arial Narrow"/>
          <w:b/>
          <w:color w:val="FF0000"/>
          <w:lang w:eastAsia="sk-SK"/>
        </w:rPr>
        <w:t xml:space="preserve">min. </w:t>
      </w:r>
      <w:r>
        <w:rPr>
          <w:rFonts w:ascii="Arial Narrow" w:hAnsi="Arial Narrow"/>
          <w:b/>
          <w:color w:val="FF0000"/>
          <w:lang w:eastAsia="sk-SK"/>
        </w:rPr>
        <w:t>desiatich</w:t>
      </w:r>
      <w:r w:rsidRPr="00BC32B4">
        <w:rPr>
          <w:rFonts w:ascii="Arial Narrow" w:hAnsi="Arial Narrow"/>
          <w:b/>
          <w:color w:val="FF0000"/>
          <w:lang w:eastAsia="sk-SK"/>
        </w:rPr>
        <w:t xml:space="preserve"> </w:t>
      </w:r>
      <w:r>
        <w:rPr>
          <w:rFonts w:ascii="Arial Narrow" w:hAnsi="Arial Narrow"/>
          <w:b/>
          <w:color w:val="FF0000"/>
          <w:lang w:eastAsia="sk-SK"/>
        </w:rPr>
        <w:t xml:space="preserve">automobilov hasičskej záchrannej služby kategórie N3 </w:t>
      </w:r>
      <w:bookmarkStart w:id="0" w:name="_GoBack"/>
      <w:bookmarkEnd w:id="0"/>
      <w:r w:rsidR="00A13D9A" w:rsidRPr="003A0598">
        <w:rPr>
          <w:rFonts w:ascii="Arial Narrow" w:hAnsi="Arial Narrow"/>
          <w:b/>
          <w:color w:val="FF0000"/>
          <w:lang w:eastAsia="sk-SK"/>
        </w:rPr>
        <w:t>alebo N3G</w:t>
      </w:r>
      <w:r w:rsidR="00A13D9A">
        <w:rPr>
          <w:rFonts w:ascii="Arial Narrow" w:hAnsi="Arial Narrow"/>
          <w:b/>
          <w:color w:val="FF0000"/>
          <w:lang w:eastAsia="sk-SK"/>
        </w:rPr>
        <w:t xml:space="preserve"> </w:t>
      </w:r>
      <w:r w:rsidRPr="00A901BC">
        <w:rPr>
          <w:rFonts w:ascii="Arial Narrow" w:hAnsi="Arial Narrow"/>
          <w:b/>
          <w:color w:val="FF0000"/>
          <w:lang w:eastAsia="sk-SK"/>
        </w:rPr>
        <w:t>(podľa Zákona o prevádzke vozidiel v cestnej premávke a o zmene a doplnení niektorých zákonov č. 106/2018 Z. z. alebo príslušných smerníc EÚ)</w:t>
      </w:r>
      <w:r>
        <w:rPr>
          <w:rFonts w:ascii="Arial Narrow" w:hAnsi="Arial Narrow"/>
          <w:b/>
          <w:color w:val="FF0000"/>
          <w:lang w:eastAsia="sk-SK"/>
        </w:rPr>
        <w:t xml:space="preserve"> </w:t>
      </w:r>
      <w:r w:rsidRPr="00BC32B4">
        <w:rPr>
          <w:rFonts w:ascii="Arial Narrow" w:hAnsi="Arial Narrow"/>
          <w:b/>
          <w:lang w:eastAsia="sk-SK"/>
        </w:rPr>
        <w:t>v rozhodnom období.</w:t>
      </w:r>
      <w:r w:rsidRPr="009F138A">
        <w:rPr>
          <w:rFonts w:ascii="Arial Narrow" w:hAnsi="Arial Narrow"/>
          <w:b/>
          <w:lang w:eastAsia="sk-SK"/>
        </w:rPr>
        <w:t xml:space="preserve"> </w:t>
      </w:r>
    </w:p>
    <w:p w14:paraId="1B937E62" w14:textId="64CE0A1E" w:rsidR="00861649" w:rsidRDefault="00861649" w:rsidP="00A901BC">
      <w:pPr>
        <w:pStyle w:val="Odsekzoznamu"/>
        <w:spacing w:after="0" w:line="240" w:lineRule="auto"/>
        <w:ind w:left="0"/>
        <w:contextualSpacing w:val="0"/>
        <w:jc w:val="both"/>
        <w:rPr>
          <w:rFonts w:ascii="Arial Narrow" w:hAnsi="Arial Narrow"/>
          <w:b/>
          <w:lang w:eastAsia="sk-SK"/>
        </w:rPr>
      </w:pPr>
    </w:p>
    <w:p w14:paraId="4F66FD96" w14:textId="47BE1CE1" w:rsidR="00861649" w:rsidRDefault="00861649" w:rsidP="00A901BC">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6366B209" w14:textId="10E49549" w:rsidR="00861649" w:rsidRPr="00861649" w:rsidRDefault="00861649" w:rsidP="00A901BC">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 xml:space="preserve">predmetu </w:t>
      </w:r>
      <w:r w:rsidR="00CF4891">
        <w:rPr>
          <w:rFonts w:ascii="Arial Narrow" w:hAnsi="Arial Narrow"/>
          <w:lang w:eastAsia="sk-SK"/>
        </w:rPr>
        <w:t>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5</w:t>
      </w:r>
      <w:r w:rsidRPr="00861649">
        <w:rPr>
          <w:rFonts w:ascii="Arial Narrow" w:hAnsi="Arial Narrow"/>
          <w:lang w:eastAsia="sk-SK"/>
        </w:rPr>
        <w:t xml:space="preserve"> rokov od vyhlásenia verejného obstarávania.</w:t>
      </w:r>
    </w:p>
    <w:p w14:paraId="30C8AD89" w14:textId="075CF345" w:rsidR="00A901BC" w:rsidRDefault="00A901BC" w:rsidP="005924C0">
      <w:pPr>
        <w:pStyle w:val="Odsekzoznamu"/>
        <w:spacing w:after="0" w:line="240" w:lineRule="auto"/>
        <w:ind w:left="0"/>
        <w:contextualSpacing w:val="0"/>
        <w:jc w:val="both"/>
        <w:rPr>
          <w:rFonts w:ascii="Arial Narrow" w:hAnsi="Arial Narrow"/>
          <w:b/>
          <w:lang w:eastAsia="sk-SK"/>
        </w:rPr>
      </w:pPr>
    </w:p>
    <w:p w14:paraId="6A6597A3" w14:textId="7EBCB390" w:rsidR="00BF0BB3" w:rsidRPr="0040463D" w:rsidRDefault="005C4BC9" w:rsidP="00413C67">
      <w:pPr>
        <w:pStyle w:val="Odsekzoznamu"/>
        <w:numPr>
          <w:ilvl w:val="0"/>
          <w:numId w:val="16"/>
        </w:numPr>
        <w:spacing w:before="300" w:after="300" w:line="240" w:lineRule="auto"/>
        <w:ind w:left="284" w:hanging="284"/>
        <w:rPr>
          <w:rFonts w:ascii="Arial Narrow" w:hAnsi="Arial Narrow"/>
          <w:b/>
          <w:u w:val="single"/>
          <w:lang w:eastAsia="sk-SK"/>
        </w:rPr>
      </w:pPr>
      <w:r w:rsidRPr="0040463D">
        <w:rPr>
          <w:rFonts w:ascii="Arial Narrow" w:hAnsi="Arial Narrow"/>
          <w:b/>
          <w:u w:val="single"/>
          <w:lang w:eastAsia="sk-SK"/>
        </w:rPr>
        <w:t>Ďalšie informácie</w:t>
      </w:r>
    </w:p>
    <w:p w14:paraId="2BA92A0D" w14:textId="77777777" w:rsidR="00115F45" w:rsidRPr="00AD0F69" w:rsidRDefault="000D7D1C" w:rsidP="00115F45">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r w:rsidR="00115F45"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115F45">
        <w:rPr>
          <w:rFonts w:ascii="Arial Narrow" w:hAnsi="Arial Narrow"/>
          <w:lang w:eastAsia="sk-SK"/>
        </w:rPr>
        <w:t xml:space="preserve"> zákona.</w:t>
      </w:r>
    </w:p>
    <w:p w14:paraId="2E74D228" w14:textId="77D88758"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77777777"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35D41DD8"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2589B851" w14:textId="77777777" w:rsidR="00374174" w:rsidRDefault="00374174" w:rsidP="008B538F">
      <w:pPr>
        <w:spacing w:after="0" w:line="240" w:lineRule="auto"/>
        <w:jc w:val="both"/>
        <w:rPr>
          <w:rStyle w:val="Jemnzvraznenie"/>
          <w:rFonts w:ascii="Arial Narrow" w:hAnsi="Arial Narrow"/>
          <w:b w:val="0"/>
          <w:sz w:val="22"/>
        </w:rPr>
      </w:pP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BF80C6C" w14:textId="06016B5F" w:rsidR="00D0110B" w:rsidRPr="0079376E" w:rsidRDefault="00D0110B" w:rsidP="008B538F">
      <w:pPr>
        <w:spacing w:before="120" w:after="0" w:line="240" w:lineRule="auto"/>
        <w:jc w:val="both"/>
        <w:rPr>
          <w:rFonts w:ascii="Arial Narrow" w:hAnsi="Arial Narrow"/>
          <w:color w:val="FF0000"/>
          <w:lang w:eastAsia="sk-SK"/>
        </w:rPr>
      </w:pPr>
      <w:r w:rsidRPr="0079376E">
        <w:rPr>
          <w:rFonts w:ascii="Arial Narrow" w:hAnsi="Arial Narrow"/>
          <w:color w:val="FF0000"/>
          <w:lang w:eastAsia="sk-SK"/>
        </w:rPr>
        <w:t>Verejný obstarávateľ umožňuje vyplniť oddiel α Globálny údaj pre všetky podmienky účasti časti IV. Hospodársky subjekt.</w:t>
      </w:r>
    </w:p>
    <w:p w14:paraId="581F3451" w14:textId="711B113F" w:rsidR="008B538F" w:rsidRPr="00F73CE5" w:rsidRDefault="008B538F" w:rsidP="008B538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predvyplnený </w:t>
      </w:r>
      <w:r w:rsidR="00115F45">
        <w:rPr>
          <w:rFonts w:ascii="Arial Narrow" w:hAnsi="Arial Narrow" w:cs="Arial Narrow"/>
        </w:rPr>
        <w:t xml:space="preserve">elektronický </w:t>
      </w:r>
      <w:r w:rsidRPr="00F73CE5">
        <w:rPr>
          <w:rFonts w:ascii="Arial Narrow" w:hAnsi="Arial Narrow" w:cs="Arial Narrow"/>
        </w:rPr>
        <w:t>formulár JED</w:t>
      </w:r>
      <w:r w:rsidR="00115F45">
        <w:rPr>
          <w:rFonts w:ascii="Arial Narrow" w:hAnsi="Arial Narrow" w:cs="Arial Narrow"/>
        </w:rPr>
        <w:t xml:space="preserve"> vo formáte .xml</w:t>
      </w:r>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4026EA1B" w14:textId="77777777" w:rsidR="008B538F" w:rsidRPr="003E03B5" w:rsidRDefault="008B538F" w:rsidP="003E03B5">
      <w:pPr>
        <w:pStyle w:val="Odsekzoznamu"/>
        <w:spacing w:after="0" w:line="240" w:lineRule="auto"/>
        <w:ind w:left="0"/>
        <w:contextualSpacing w:val="0"/>
        <w:jc w:val="both"/>
        <w:rPr>
          <w:rFonts w:ascii="Arial Narrow" w:hAnsi="Arial Narrow"/>
          <w:b/>
          <w:lang w:eastAsia="sk-SK"/>
        </w:rPr>
      </w:pPr>
    </w:p>
    <w:sectPr w:rsidR="008B538F" w:rsidRPr="003E03B5" w:rsidSect="00A901BC">
      <w:headerReference w:type="default" r:id="rId12"/>
      <w:footerReference w:type="default" r:id="rId13"/>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D3B5E" w14:textId="77777777" w:rsidR="00E677E2" w:rsidRDefault="00E677E2" w:rsidP="00CF3803">
      <w:pPr>
        <w:spacing w:after="0" w:line="240" w:lineRule="auto"/>
      </w:pPr>
      <w:r>
        <w:separator/>
      </w:r>
    </w:p>
  </w:endnote>
  <w:endnote w:type="continuationSeparator" w:id="0">
    <w:p w14:paraId="08264717" w14:textId="77777777" w:rsidR="00E677E2" w:rsidRDefault="00E677E2"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6758"/>
      <w:docPartObj>
        <w:docPartGallery w:val="Page Numbers (Bottom of Page)"/>
        <w:docPartUnique/>
      </w:docPartObj>
    </w:sdtPr>
    <w:sdtEndPr/>
    <w:sdtContent>
      <w:p w14:paraId="369FC886" w14:textId="1B515684" w:rsidR="00156E4A" w:rsidRDefault="00156E4A">
        <w:pPr>
          <w:pStyle w:val="Pta"/>
          <w:jc w:val="center"/>
        </w:pPr>
        <w:r>
          <w:fldChar w:fldCharType="begin"/>
        </w:r>
        <w:r>
          <w:instrText>PAGE   \* MERGEFORMAT</w:instrText>
        </w:r>
        <w:r>
          <w:fldChar w:fldCharType="separate"/>
        </w:r>
        <w:r w:rsidR="003A0598">
          <w:rPr>
            <w:noProof/>
          </w:rPr>
          <w:t>4</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5BB2E" w14:textId="77777777" w:rsidR="00E677E2" w:rsidRDefault="00E677E2" w:rsidP="00CF3803">
      <w:pPr>
        <w:spacing w:after="0" w:line="240" w:lineRule="auto"/>
      </w:pPr>
      <w:r>
        <w:separator/>
      </w:r>
    </w:p>
  </w:footnote>
  <w:footnote w:type="continuationSeparator" w:id="0">
    <w:p w14:paraId="07F30835" w14:textId="77777777" w:rsidR="00E677E2" w:rsidRDefault="00E677E2"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75E4" w14:textId="77777777" w:rsidR="00D45A3A" w:rsidRDefault="00D45A3A" w:rsidP="00D45A3A">
    <w:pPr>
      <w:spacing w:before="60" w:after="0"/>
      <w:rPr>
        <w:rFonts w:ascii="Arial Narrow" w:hAnsi="Arial Narrow"/>
        <w:i/>
        <w:iCs/>
      </w:rPr>
    </w:pPr>
    <w:r w:rsidRPr="00801F4B">
      <w:rPr>
        <w:rFonts w:ascii="Arial Narrow" w:hAnsi="Arial Narrow"/>
        <w:i/>
        <w:iCs/>
      </w:rPr>
      <w:t xml:space="preserve">Príloha č. </w:t>
    </w:r>
    <w:r>
      <w:rPr>
        <w:rFonts w:ascii="Arial Narrow" w:hAnsi="Arial Narrow"/>
        <w:i/>
        <w:iCs/>
      </w:rPr>
      <w:t>5</w:t>
    </w:r>
    <w:r w:rsidRPr="00801F4B">
      <w:rPr>
        <w:rFonts w:ascii="Arial Narrow" w:hAnsi="Arial Narrow"/>
        <w:i/>
        <w:iCs/>
      </w:rPr>
      <w:t xml:space="preserve"> </w:t>
    </w:r>
    <w:r>
      <w:rPr>
        <w:rFonts w:ascii="Arial Narrow" w:hAnsi="Arial Narrow"/>
        <w:i/>
        <w:iCs/>
      </w:rPr>
      <w:t>sú</w:t>
    </w:r>
    <w:r w:rsidRPr="005614E4">
      <w:rPr>
        <w:i/>
        <w:iCs/>
      </w:rPr>
      <w:t>ť</w:t>
    </w:r>
    <w:r w:rsidRPr="005614E4">
      <w:rPr>
        <w:rFonts w:ascii="Arial Narrow" w:hAnsi="Arial Narrow"/>
        <w:i/>
        <w:iCs/>
      </w:rPr>
      <w:t>a</w:t>
    </w:r>
    <w:r w:rsidRPr="005614E4">
      <w:rPr>
        <w:i/>
        <w:iCs/>
      </w:rPr>
      <w:t>ž</w:t>
    </w:r>
    <w:r w:rsidRPr="005614E4">
      <w:rPr>
        <w:rFonts w:ascii="Arial Narrow" w:hAnsi="Arial Narrow"/>
        <w:i/>
        <w:iCs/>
      </w:rPr>
      <w:t>ných podkladov</w:t>
    </w:r>
  </w:p>
  <w:p w14:paraId="539FC32E" w14:textId="0BBED504" w:rsidR="00D45A3A" w:rsidRPr="00115F45" w:rsidRDefault="00650468" w:rsidP="00A901BC">
    <w:pPr>
      <w:pStyle w:val="Hlavika"/>
      <w:rPr>
        <w:rFonts w:ascii="Arial Narrow" w:hAnsi="Arial Narrow"/>
        <w:sz w:val="18"/>
        <w:szCs w:val="18"/>
      </w:rPr>
    </w:pPr>
    <w:r>
      <w:rPr>
        <w:rFonts w:ascii="Arial Narrow" w:hAnsi="Arial Narrow"/>
        <w:i/>
        <w:iCs/>
      </w:rPr>
      <w:t xml:space="preserve">Automobil hasičskej </w:t>
    </w:r>
    <w:r w:rsidR="00A901BC">
      <w:rPr>
        <w:rFonts w:ascii="Arial Narrow" w:hAnsi="Arial Narrow"/>
        <w:i/>
        <w:iCs/>
      </w:rPr>
      <w:t>záchrannej služby kategórie 1B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D12"/>
    <w:multiLevelType w:val="hybridMultilevel"/>
    <w:tmpl w:val="C0DE845A"/>
    <w:lvl w:ilvl="0" w:tplc="EC3A21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3CD1E0F"/>
    <w:multiLevelType w:val="hybridMultilevel"/>
    <w:tmpl w:val="C6EA7D0A"/>
    <w:lvl w:ilvl="0" w:tplc="DED8AE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1"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0E00DFE"/>
    <w:multiLevelType w:val="hybridMultilevel"/>
    <w:tmpl w:val="5906AEE0"/>
    <w:lvl w:ilvl="0" w:tplc="8DDCA08A">
      <w:numFmt w:val="bullet"/>
      <w:lvlText w:val="-"/>
      <w:lvlJc w:val="left"/>
      <w:pPr>
        <w:ind w:left="786" w:hanging="360"/>
      </w:pPr>
      <w:rPr>
        <w:rFonts w:ascii="Arial Narrow" w:eastAsia="Calibri" w:hAnsi="Arial Narrow"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0"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5"/>
  </w:num>
  <w:num w:numId="4">
    <w:abstractNumId w:val="20"/>
  </w:num>
  <w:num w:numId="5">
    <w:abstractNumId w:val="16"/>
  </w:num>
  <w:num w:numId="6">
    <w:abstractNumId w:val="7"/>
  </w:num>
  <w:num w:numId="7">
    <w:abstractNumId w:val="2"/>
  </w:num>
  <w:num w:numId="8">
    <w:abstractNumId w:val="18"/>
  </w:num>
  <w:num w:numId="9">
    <w:abstractNumId w:val="22"/>
  </w:num>
  <w:num w:numId="10">
    <w:abstractNumId w:val="8"/>
  </w:num>
  <w:num w:numId="11">
    <w:abstractNumId w:val="17"/>
  </w:num>
  <w:num w:numId="12">
    <w:abstractNumId w:val="21"/>
  </w:num>
  <w:num w:numId="13">
    <w:abstractNumId w:val="13"/>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14"/>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C69"/>
    <w:rsid w:val="000D11AE"/>
    <w:rsid w:val="000D76E1"/>
    <w:rsid w:val="000D7D1C"/>
    <w:rsid w:val="000E30BB"/>
    <w:rsid w:val="00111A1C"/>
    <w:rsid w:val="00112F5A"/>
    <w:rsid w:val="00115F45"/>
    <w:rsid w:val="00116D6B"/>
    <w:rsid w:val="00123C58"/>
    <w:rsid w:val="0012597B"/>
    <w:rsid w:val="00127D90"/>
    <w:rsid w:val="00130205"/>
    <w:rsid w:val="00130AF9"/>
    <w:rsid w:val="0013499F"/>
    <w:rsid w:val="001437DD"/>
    <w:rsid w:val="00145114"/>
    <w:rsid w:val="00156E4A"/>
    <w:rsid w:val="001579A4"/>
    <w:rsid w:val="00162CE3"/>
    <w:rsid w:val="0016443D"/>
    <w:rsid w:val="001814A3"/>
    <w:rsid w:val="0019071B"/>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EE8"/>
    <w:rsid w:val="002A5C9C"/>
    <w:rsid w:val="002B34E8"/>
    <w:rsid w:val="002C5532"/>
    <w:rsid w:val="002E21A4"/>
    <w:rsid w:val="002F2D1D"/>
    <w:rsid w:val="002F55F8"/>
    <w:rsid w:val="002F79B9"/>
    <w:rsid w:val="0033133F"/>
    <w:rsid w:val="003352DB"/>
    <w:rsid w:val="00346B72"/>
    <w:rsid w:val="003553A6"/>
    <w:rsid w:val="0036408B"/>
    <w:rsid w:val="00370D85"/>
    <w:rsid w:val="00374174"/>
    <w:rsid w:val="0038059D"/>
    <w:rsid w:val="00380792"/>
    <w:rsid w:val="00380B22"/>
    <w:rsid w:val="00380F8B"/>
    <w:rsid w:val="0039124C"/>
    <w:rsid w:val="00394AD8"/>
    <w:rsid w:val="003963FE"/>
    <w:rsid w:val="003A0598"/>
    <w:rsid w:val="003A2371"/>
    <w:rsid w:val="003C06A1"/>
    <w:rsid w:val="003C1B9D"/>
    <w:rsid w:val="003C6899"/>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94"/>
    <w:rsid w:val="0051077A"/>
    <w:rsid w:val="00541B2C"/>
    <w:rsid w:val="00543F73"/>
    <w:rsid w:val="00557EF6"/>
    <w:rsid w:val="00557FB2"/>
    <w:rsid w:val="00566D51"/>
    <w:rsid w:val="005677AD"/>
    <w:rsid w:val="00584149"/>
    <w:rsid w:val="00586473"/>
    <w:rsid w:val="00587243"/>
    <w:rsid w:val="005924C0"/>
    <w:rsid w:val="005A0AEB"/>
    <w:rsid w:val="005A5895"/>
    <w:rsid w:val="005B7A62"/>
    <w:rsid w:val="005C4BC9"/>
    <w:rsid w:val="005D0004"/>
    <w:rsid w:val="005D680B"/>
    <w:rsid w:val="005E28B7"/>
    <w:rsid w:val="005E6C0D"/>
    <w:rsid w:val="005F0BEB"/>
    <w:rsid w:val="005F174C"/>
    <w:rsid w:val="005F6B63"/>
    <w:rsid w:val="0061711A"/>
    <w:rsid w:val="00630342"/>
    <w:rsid w:val="00633C26"/>
    <w:rsid w:val="00637F7F"/>
    <w:rsid w:val="00647977"/>
    <w:rsid w:val="00650468"/>
    <w:rsid w:val="00673D9A"/>
    <w:rsid w:val="00696C21"/>
    <w:rsid w:val="006A3A63"/>
    <w:rsid w:val="006A6933"/>
    <w:rsid w:val="006B5ED7"/>
    <w:rsid w:val="006C0C32"/>
    <w:rsid w:val="006C4BA1"/>
    <w:rsid w:val="006D5D4A"/>
    <w:rsid w:val="006E48BE"/>
    <w:rsid w:val="006F0353"/>
    <w:rsid w:val="006F2010"/>
    <w:rsid w:val="006F4934"/>
    <w:rsid w:val="0070402F"/>
    <w:rsid w:val="00706952"/>
    <w:rsid w:val="00724924"/>
    <w:rsid w:val="007332F9"/>
    <w:rsid w:val="00753E9A"/>
    <w:rsid w:val="00761153"/>
    <w:rsid w:val="0076502B"/>
    <w:rsid w:val="007748C4"/>
    <w:rsid w:val="00777497"/>
    <w:rsid w:val="00782027"/>
    <w:rsid w:val="00782877"/>
    <w:rsid w:val="00785E23"/>
    <w:rsid w:val="0079376E"/>
    <w:rsid w:val="00796C66"/>
    <w:rsid w:val="007A2754"/>
    <w:rsid w:val="007A7038"/>
    <w:rsid w:val="007B36FC"/>
    <w:rsid w:val="007C3264"/>
    <w:rsid w:val="007C500A"/>
    <w:rsid w:val="007C6CD3"/>
    <w:rsid w:val="007E480C"/>
    <w:rsid w:val="007E481E"/>
    <w:rsid w:val="007F0FEF"/>
    <w:rsid w:val="007F1EDD"/>
    <w:rsid w:val="007F4395"/>
    <w:rsid w:val="008053F7"/>
    <w:rsid w:val="008070B2"/>
    <w:rsid w:val="00814801"/>
    <w:rsid w:val="0081715F"/>
    <w:rsid w:val="00823420"/>
    <w:rsid w:val="00826460"/>
    <w:rsid w:val="00835829"/>
    <w:rsid w:val="00844D8F"/>
    <w:rsid w:val="00850E98"/>
    <w:rsid w:val="00856985"/>
    <w:rsid w:val="00861649"/>
    <w:rsid w:val="00886254"/>
    <w:rsid w:val="008A21D9"/>
    <w:rsid w:val="008B538F"/>
    <w:rsid w:val="008B78EB"/>
    <w:rsid w:val="008C3328"/>
    <w:rsid w:val="008D2428"/>
    <w:rsid w:val="008D5D52"/>
    <w:rsid w:val="008D7643"/>
    <w:rsid w:val="008D7A41"/>
    <w:rsid w:val="008E5AA4"/>
    <w:rsid w:val="008F5ED1"/>
    <w:rsid w:val="008F6B76"/>
    <w:rsid w:val="00902FD9"/>
    <w:rsid w:val="00905688"/>
    <w:rsid w:val="009065DC"/>
    <w:rsid w:val="00914F24"/>
    <w:rsid w:val="0091667B"/>
    <w:rsid w:val="00920349"/>
    <w:rsid w:val="00947669"/>
    <w:rsid w:val="00953D59"/>
    <w:rsid w:val="00954A4F"/>
    <w:rsid w:val="00960074"/>
    <w:rsid w:val="009703C0"/>
    <w:rsid w:val="00977C1D"/>
    <w:rsid w:val="0098633C"/>
    <w:rsid w:val="00986E67"/>
    <w:rsid w:val="009A6009"/>
    <w:rsid w:val="009B2A26"/>
    <w:rsid w:val="009B5AC4"/>
    <w:rsid w:val="009B6299"/>
    <w:rsid w:val="009D6A48"/>
    <w:rsid w:val="009F226E"/>
    <w:rsid w:val="00A12852"/>
    <w:rsid w:val="00A130C8"/>
    <w:rsid w:val="00A13D9A"/>
    <w:rsid w:val="00A21721"/>
    <w:rsid w:val="00A224C2"/>
    <w:rsid w:val="00A23962"/>
    <w:rsid w:val="00A24B93"/>
    <w:rsid w:val="00A312BD"/>
    <w:rsid w:val="00A312EF"/>
    <w:rsid w:val="00A32CC7"/>
    <w:rsid w:val="00A35B70"/>
    <w:rsid w:val="00A403F4"/>
    <w:rsid w:val="00A472EE"/>
    <w:rsid w:val="00A523E9"/>
    <w:rsid w:val="00A55385"/>
    <w:rsid w:val="00A63431"/>
    <w:rsid w:val="00A73047"/>
    <w:rsid w:val="00A75414"/>
    <w:rsid w:val="00A80890"/>
    <w:rsid w:val="00A901BC"/>
    <w:rsid w:val="00AA056B"/>
    <w:rsid w:val="00AA26B7"/>
    <w:rsid w:val="00AA4FC2"/>
    <w:rsid w:val="00AC1E2B"/>
    <w:rsid w:val="00AC4256"/>
    <w:rsid w:val="00AD0B8C"/>
    <w:rsid w:val="00AE2E11"/>
    <w:rsid w:val="00B022C3"/>
    <w:rsid w:val="00B108B4"/>
    <w:rsid w:val="00B1589E"/>
    <w:rsid w:val="00B20C76"/>
    <w:rsid w:val="00B316D2"/>
    <w:rsid w:val="00B33A50"/>
    <w:rsid w:val="00B477A5"/>
    <w:rsid w:val="00B5148B"/>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0F7F"/>
    <w:rsid w:val="00BE1359"/>
    <w:rsid w:val="00BE3AD8"/>
    <w:rsid w:val="00BE6A5C"/>
    <w:rsid w:val="00BF0BB3"/>
    <w:rsid w:val="00BF281D"/>
    <w:rsid w:val="00BF4E80"/>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74FA"/>
    <w:rsid w:val="00C669FF"/>
    <w:rsid w:val="00C72501"/>
    <w:rsid w:val="00C76A24"/>
    <w:rsid w:val="00C815B3"/>
    <w:rsid w:val="00C81A67"/>
    <w:rsid w:val="00CA0325"/>
    <w:rsid w:val="00CA1867"/>
    <w:rsid w:val="00CB62C1"/>
    <w:rsid w:val="00CC2B40"/>
    <w:rsid w:val="00CC3473"/>
    <w:rsid w:val="00CE6FD2"/>
    <w:rsid w:val="00CF3803"/>
    <w:rsid w:val="00CF4064"/>
    <w:rsid w:val="00CF4891"/>
    <w:rsid w:val="00CF625C"/>
    <w:rsid w:val="00D0110B"/>
    <w:rsid w:val="00D06236"/>
    <w:rsid w:val="00D072BB"/>
    <w:rsid w:val="00D172AD"/>
    <w:rsid w:val="00D3408F"/>
    <w:rsid w:val="00D426E7"/>
    <w:rsid w:val="00D42D10"/>
    <w:rsid w:val="00D45A3A"/>
    <w:rsid w:val="00D50483"/>
    <w:rsid w:val="00D569AD"/>
    <w:rsid w:val="00D63B32"/>
    <w:rsid w:val="00D911C9"/>
    <w:rsid w:val="00D92EE1"/>
    <w:rsid w:val="00D9300B"/>
    <w:rsid w:val="00DA74B0"/>
    <w:rsid w:val="00DE45F4"/>
    <w:rsid w:val="00DF0D5E"/>
    <w:rsid w:val="00E00E40"/>
    <w:rsid w:val="00E01F8B"/>
    <w:rsid w:val="00E04AE5"/>
    <w:rsid w:val="00E052F9"/>
    <w:rsid w:val="00E060F0"/>
    <w:rsid w:val="00E06D21"/>
    <w:rsid w:val="00E10B0A"/>
    <w:rsid w:val="00E12258"/>
    <w:rsid w:val="00E14C68"/>
    <w:rsid w:val="00E241FC"/>
    <w:rsid w:val="00E31194"/>
    <w:rsid w:val="00E34025"/>
    <w:rsid w:val="00E465A3"/>
    <w:rsid w:val="00E536C5"/>
    <w:rsid w:val="00E60B9F"/>
    <w:rsid w:val="00E642E7"/>
    <w:rsid w:val="00E6549C"/>
    <w:rsid w:val="00E677E2"/>
    <w:rsid w:val="00E67D3C"/>
    <w:rsid w:val="00E719D3"/>
    <w:rsid w:val="00E742DF"/>
    <w:rsid w:val="00E862AB"/>
    <w:rsid w:val="00E9222B"/>
    <w:rsid w:val="00E92C49"/>
    <w:rsid w:val="00E94CCA"/>
    <w:rsid w:val="00EA20F3"/>
    <w:rsid w:val="00EA3E5F"/>
    <w:rsid w:val="00EC2343"/>
    <w:rsid w:val="00EC4881"/>
    <w:rsid w:val="00EC6EA3"/>
    <w:rsid w:val="00ED543B"/>
    <w:rsid w:val="00EE4761"/>
    <w:rsid w:val="00EF0984"/>
    <w:rsid w:val="00EF3442"/>
    <w:rsid w:val="00F037F9"/>
    <w:rsid w:val="00F23165"/>
    <w:rsid w:val="00F277FE"/>
    <w:rsid w:val="00F31B85"/>
    <w:rsid w:val="00F40ACD"/>
    <w:rsid w:val="00F4283A"/>
    <w:rsid w:val="00F53F50"/>
    <w:rsid w:val="00F614ED"/>
    <w:rsid w:val="00F7022C"/>
    <w:rsid w:val="00F73AD8"/>
    <w:rsid w:val="00F76CDC"/>
    <w:rsid w:val="00F81EBA"/>
    <w:rsid w:val="00F82D10"/>
    <w:rsid w:val="00F84989"/>
    <w:rsid w:val="00FA3FDF"/>
    <w:rsid w:val="00FA77E4"/>
    <w:rsid w:val="00FA7BF3"/>
    <w:rsid w:val="00FB15D4"/>
    <w:rsid w:val="00FC3256"/>
    <w:rsid w:val="00FD0291"/>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2877"/>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2.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B4C06-994A-49BC-97AE-24767C31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1838</Words>
  <Characters>10480</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Jozef Bálint</cp:lastModifiedBy>
  <cp:revision>66</cp:revision>
  <cp:lastPrinted>2022-01-18T07:35:00Z</cp:lastPrinted>
  <dcterms:created xsi:type="dcterms:W3CDTF">2022-04-03T15:40:00Z</dcterms:created>
  <dcterms:modified xsi:type="dcterms:W3CDTF">2023-09-20T12:10:00Z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