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77777777"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D047CF" w:rsidRPr="00D047CF">
        <w:rPr>
          <w:rFonts w:ascii="Arial" w:hAnsi="Arial" w:cs="Arial"/>
          <w:b/>
          <w:bCs/>
          <w:sz w:val="20"/>
          <w:szCs w:val="20"/>
        </w:rPr>
        <w:t>Aortálne kanyly nepoťahované</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0E80A9F6"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D047CF">
        <w:rPr>
          <w:rFonts w:ascii="Arial" w:eastAsia="Times New Roman" w:hAnsi="Arial" w:cs="Arial"/>
          <w:b/>
          <w:bCs/>
          <w:sz w:val="18"/>
          <w:szCs w:val="18"/>
          <w:lang w:eastAsia="sk-SK"/>
        </w:rPr>
        <w:t>Aortálne kanyly nepoťahované</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7D0F29E"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a</w:t>
      </w:r>
      <w:r w:rsidR="00D047CF" w:rsidRPr="00D047CF">
        <w:rPr>
          <w:rFonts w:ascii="Arial" w:hAnsi="Arial" w:cs="Arial"/>
          <w:sz w:val="20"/>
          <w:szCs w:val="20"/>
        </w:rPr>
        <w:t>ortálne kanyly nepoťahované</w:t>
      </w:r>
      <w:r w:rsidR="00D047CF">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501B60F1"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D047CF" w:rsidRPr="00E32287">
        <w:rPr>
          <w:rFonts w:ascii="Arial" w:hAnsi="Arial" w:cs="Arial"/>
          <w:bCs/>
          <w:sz w:val="20"/>
          <w:szCs w:val="20"/>
        </w:rPr>
        <w:t>sedemdesiatdva</w:t>
      </w:r>
      <w:r w:rsidR="005F2673" w:rsidRPr="00E32287">
        <w:rPr>
          <w:rFonts w:ascii="Arial" w:hAnsi="Arial" w:cs="Arial"/>
          <w:bCs/>
          <w:sz w:val="20"/>
          <w:szCs w:val="20"/>
        </w:rPr>
        <w:t xml:space="preserve"> (</w:t>
      </w:r>
      <w:r w:rsidR="00D047CF" w:rsidRPr="00E32287">
        <w:rPr>
          <w:rFonts w:ascii="Arial" w:hAnsi="Arial" w:cs="Arial"/>
          <w:bCs/>
          <w:sz w:val="20"/>
          <w:szCs w:val="20"/>
        </w:rPr>
        <w:t>72</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77777777"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D047CF">
        <w:rPr>
          <w:rFonts w:ascii="Arial" w:hAnsi="Arial" w:cs="Arial"/>
          <w:b/>
          <w:sz w:val="20"/>
          <w:szCs w:val="20"/>
        </w:rPr>
        <w:t>67 509,00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D047CF">
        <w:rPr>
          <w:rFonts w:ascii="Arial" w:hAnsi="Arial" w:cs="Arial"/>
          <w:sz w:val="20"/>
          <w:szCs w:val="20"/>
        </w:rPr>
        <w:t xml:space="preserve">šesťdesiatsedemtisícpäťstodeväť </w:t>
      </w:r>
      <w:r w:rsidR="00D047CF" w:rsidRPr="00300C66">
        <w:rPr>
          <w:rFonts w:ascii="Arial" w:hAnsi="Arial" w:cs="Arial"/>
          <w:sz w:val="20"/>
          <w:szCs w:val="20"/>
        </w:rPr>
        <w:t xml:space="preserve">Eur </w:t>
      </w:r>
      <w:r w:rsidR="00D047CF">
        <w:rPr>
          <w:rFonts w:ascii="Arial" w:hAnsi="Arial" w:cs="Arial"/>
          <w:sz w:val="20"/>
          <w:szCs w:val="20"/>
        </w:rPr>
        <w:t xml:space="preserve"> bez DPH), celková cena s DPH za celý predmet plnenia zmluvy je vo výške : </w:t>
      </w:r>
      <w:r w:rsidR="00D047CF">
        <w:rPr>
          <w:rFonts w:ascii="Arial" w:hAnsi="Arial" w:cs="Arial"/>
          <w:b/>
          <w:sz w:val="20"/>
          <w:szCs w:val="20"/>
        </w:rPr>
        <w:t>81 010,80</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D047CF">
        <w:rPr>
          <w:rFonts w:ascii="Arial" w:hAnsi="Arial" w:cs="Arial"/>
          <w:sz w:val="20"/>
          <w:szCs w:val="20"/>
        </w:rPr>
        <w:t xml:space="preserve">osemdesiatjedentisícdesať </w:t>
      </w:r>
      <w:r w:rsidR="00D047CF" w:rsidRPr="00300C66">
        <w:rPr>
          <w:rFonts w:ascii="Arial" w:hAnsi="Arial" w:cs="Arial"/>
          <w:sz w:val="20"/>
          <w:szCs w:val="20"/>
        </w:rPr>
        <w:t xml:space="preserve">Eur </w:t>
      </w:r>
      <w:r w:rsidR="00D047CF">
        <w:rPr>
          <w:rFonts w:ascii="Arial" w:hAnsi="Arial" w:cs="Arial"/>
          <w:sz w:val="20"/>
          <w:szCs w:val="20"/>
        </w:rPr>
        <w:t>a osemdesiat centov s DPH).</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0C14187C"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D047CF" w:rsidRPr="00E32287">
        <w:rPr>
          <w:rFonts w:ascii="Arial" w:hAnsi="Arial" w:cs="Arial"/>
          <w:bCs/>
          <w:iCs/>
          <w:sz w:val="20"/>
          <w:szCs w:val="20"/>
        </w:rPr>
        <w:t>tridsaťšesť</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D047CF" w:rsidRPr="00E32287">
        <w:rPr>
          <w:rFonts w:ascii="Arial" w:hAnsi="Arial" w:cs="Arial"/>
          <w:bCs/>
          <w:iCs/>
          <w:sz w:val="20"/>
          <w:szCs w:val="20"/>
        </w:rPr>
        <w:t>36</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0C36CDEA"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D047CF" w:rsidRPr="00E32287">
        <w:rPr>
          <w:rFonts w:ascii="Arial" w:hAnsi="Arial" w:cs="Arial"/>
          <w:sz w:val="20"/>
          <w:szCs w:val="20"/>
        </w:rPr>
        <w:t>dvanásť</w:t>
      </w:r>
      <w:r w:rsidR="001970C8" w:rsidRPr="00E32287">
        <w:rPr>
          <w:rFonts w:ascii="Arial" w:hAnsi="Arial" w:cs="Arial"/>
          <w:sz w:val="20"/>
          <w:szCs w:val="20"/>
        </w:rPr>
        <w:t xml:space="preserve"> (</w:t>
      </w:r>
      <w:r w:rsidR="00D047CF" w:rsidRPr="00E32287">
        <w:rPr>
          <w:rFonts w:ascii="Arial" w:hAnsi="Arial" w:cs="Arial"/>
          <w:sz w:val="20"/>
          <w:szCs w:val="20"/>
        </w:rPr>
        <w:t>12</w:t>
      </w:r>
      <w:r w:rsidR="001970C8" w:rsidRPr="00E3228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bookmarkStart w:id="0" w:name="_GoBack"/>
      <w:bookmarkEnd w:id="0"/>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21C6"/>
    <w:rsid w:val="003041B6"/>
    <w:rsid w:val="00304EBE"/>
    <w:rsid w:val="00324E7D"/>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32287"/>
    <w:rsid w:val="00E8298B"/>
    <w:rsid w:val="00E86FBD"/>
    <w:rsid w:val="00EA5586"/>
    <w:rsid w:val="00EB5068"/>
    <w:rsid w:val="00EB50AB"/>
    <w:rsid w:val="00EB7A12"/>
    <w:rsid w:val="00EC6565"/>
    <w:rsid w:val="00EE022B"/>
    <w:rsid w:val="00F069C8"/>
    <w:rsid w:val="00F119C8"/>
    <w:rsid w:val="00F15B6C"/>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5050</Words>
  <Characters>28787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6</cp:revision>
  <cp:lastPrinted>2019-07-23T08:35:00Z</cp:lastPrinted>
  <dcterms:created xsi:type="dcterms:W3CDTF">2019-07-23T09:31:00Z</dcterms:created>
  <dcterms:modified xsi:type="dcterms:W3CDTF">2019-07-23T09:35:00Z</dcterms:modified>
</cp:coreProperties>
</file>