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E02F2" w14:textId="77777777"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14:paraId="7DF3B2A9" w14:textId="77777777"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14:paraId="0919F8CE" w14:textId="77777777" w:rsidR="00FE5206" w:rsidRPr="00766E18" w:rsidRDefault="00122BAB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  <w:r w:rsidR="00FE5206" w:rsidRPr="00766E18">
        <w:rPr>
          <w:rFonts w:ascii="Arial Narrow" w:hAnsi="Arial Narrow"/>
          <w:color w:val="000000"/>
        </w:rPr>
        <w:sym w:font="Symbol" w:char="F0B7"/>
      </w:r>
      <w:r w:rsidR="00FE5206">
        <w:rPr>
          <w:rFonts w:ascii="Arial Narrow" w:hAnsi="Arial Narrow"/>
          <w:color w:val="000000"/>
        </w:rPr>
        <w:tab/>
      </w:r>
      <w:r w:rsidR="00FE5206">
        <w:rPr>
          <w:rFonts w:ascii="Arial Narrow" w:hAnsi="Arial Narrow"/>
          <w:color w:val="000000"/>
        </w:rPr>
        <w:tab/>
      </w:r>
      <w:r w:rsidR="00FE5206">
        <w:rPr>
          <w:rFonts w:ascii="Arial Narrow" w:hAnsi="Arial Narrow"/>
          <w:color w:val="000000"/>
        </w:rPr>
        <w:tab/>
      </w:r>
      <w:r w:rsidR="00FE5206">
        <w:rPr>
          <w:rFonts w:ascii="Arial Narrow" w:hAnsi="Arial Narrow"/>
          <w:color w:val="000000"/>
        </w:rPr>
        <w:tab/>
      </w:r>
      <w:r w:rsidR="00FE5206">
        <w:rPr>
          <w:rFonts w:ascii="Arial Narrow" w:hAnsi="Arial Narrow"/>
          <w:color w:val="000000"/>
        </w:rPr>
        <w:tab/>
      </w:r>
      <w:r w:rsidR="00FE5206" w:rsidRPr="00766E18">
        <w:rPr>
          <w:rFonts w:ascii="Arial Narrow" w:hAnsi="Arial Narrow"/>
          <w:color w:val="000000"/>
        </w:rPr>
        <w:sym w:font="Symbol" w:char="F0B7"/>
      </w:r>
    </w:p>
    <w:p w14:paraId="446AB09B" w14:textId="77777777" w:rsidR="00FE5206" w:rsidRPr="00766E18" w:rsidRDefault="00FE5206" w:rsidP="00FE5206">
      <w:pPr>
        <w:rPr>
          <w:rFonts w:ascii="Arial Narrow" w:hAnsi="Arial Narrow"/>
          <w:color w:val="000000"/>
        </w:rPr>
      </w:pPr>
    </w:p>
    <w:p w14:paraId="364B6032" w14:textId="4BF73452" w:rsidR="00E50CC6" w:rsidRDefault="00122BAB" w:rsidP="00877C04">
      <w:pPr>
        <w:tabs>
          <w:tab w:val="left" w:pos="42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</w:t>
      </w:r>
    </w:p>
    <w:p w14:paraId="04B63503" w14:textId="77777777"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 w:rsidRPr="00766E18">
        <w:rPr>
          <w:rFonts w:ascii="Arial Narrow" w:hAnsi="Arial Narrow"/>
          <w:color w:val="000000"/>
          <w:sz w:val="22"/>
          <w:szCs w:val="22"/>
        </w:rPr>
        <w:br/>
      </w:r>
      <w:r w:rsidR="00122BAB">
        <w:rPr>
          <w:rFonts w:ascii="Arial Narrow" w:hAnsi="Arial Narrow"/>
          <w:color w:val="000000"/>
        </w:rPr>
        <w:t xml:space="preserve">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</w:r>
      <w:r w:rsidR="00122BAB">
        <w:rPr>
          <w:rFonts w:ascii="Arial Narrow" w:hAnsi="Arial Narrow"/>
          <w:color w:val="000000"/>
        </w:rPr>
        <w:t xml:space="preserve">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14:paraId="5D1C5535" w14:textId="77777777" w:rsidR="00FE5206" w:rsidRPr="00370D7A" w:rsidRDefault="00122BAB" w:rsidP="00370D7A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</w:r>
    </w:p>
    <w:p w14:paraId="22FDB709" w14:textId="77777777"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14:paraId="6BE88263" w14:textId="77777777" w:rsidTr="00FF5B49">
        <w:tc>
          <w:tcPr>
            <w:tcW w:w="2088" w:type="dxa"/>
          </w:tcPr>
          <w:p w14:paraId="7A639381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14:paraId="591EC7C1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14:paraId="0CE215C0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14:paraId="58692A09" w14:textId="1F1D125F" w:rsidR="00FE5206" w:rsidRDefault="000743D9" w:rsidP="00082A08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 w:rsidR="00BF6FDE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D63976">
              <w:rPr>
                <w:rFonts w:ascii="Arial Narrow" w:hAnsi="Arial Narrow"/>
                <w:sz w:val="20"/>
                <w:szCs w:val="20"/>
                <w:lang w:eastAsia="en-US"/>
              </w:rPr>
              <w:t>3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D63976">
              <w:rPr>
                <w:rFonts w:ascii="Arial Narrow" w:hAnsi="Arial Narrow"/>
                <w:sz w:val="20"/>
                <w:szCs w:val="20"/>
                <w:lang w:eastAsia="en-US"/>
              </w:rPr>
              <w:t>4532</w:t>
            </w:r>
            <w:r w:rsidR="00C36973"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r w:rsidR="003F6AB8">
              <w:rPr>
                <w:rFonts w:ascii="Arial Narrow" w:hAnsi="Arial Narrow"/>
                <w:sz w:val="20"/>
                <w:szCs w:val="20"/>
                <w:lang w:eastAsia="en-US"/>
              </w:rPr>
              <w:t>0</w:t>
            </w:r>
            <w:r w:rsidR="0034615E">
              <w:rPr>
                <w:rFonts w:ascii="Arial Narrow" w:hAnsi="Arial Narrow"/>
                <w:sz w:val="20"/>
                <w:szCs w:val="20"/>
                <w:lang w:eastAsia="en-US"/>
              </w:rPr>
              <w:t>3</w:t>
            </w:r>
            <w:r w:rsidR="00112D3D">
              <w:rPr>
                <w:rFonts w:ascii="Arial Narrow" w:hAnsi="Arial Narrow"/>
                <w:sz w:val="20"/>
                <w:szCs w:val="20"/>
                <w:lang w:eastAsia="en-US"/>
              </w:rPr>
              <w:t>7/</w:t>
            </w:r>
            <w:r w:rsidR="00247253">
              <w:rPr>
                <w:rFonts w:ascii="Arial Narrow" w:hAnsi="Arial Narrow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502" w:type="dxa"/>
            <w:hideMark/>
          </w:tcPr>
          <w:p w14:paraId="557E7974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14:paraId="70063D57" w14:textId="4F83239E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</w:t>
            </w:r>
            <w:r w:rsidR="00BF6FDE">
              <w:rPr>
                <w:rFonts w:ascii="Arial Narrow" w:hAnsi="Arial Narrow"/>
                <w:lang w:eastAsia="en-US"/>
              </w:rPr>
              <w:t>Miroslav Baxant</w:t>
            </w:r>
            <w:r>
              <w:rPr>
                <w:rFonts w:ascii="Arial Narrow" w:hAnsi="Arial Narrow"/>
                <w:lang w:eastAsia="en-US"/>
              </w:rPr>
              <w:t>/4457</w:t>
            </w:r>
            <w:r w:rsidR="00BF6FDE">
              <w:rPr>
                <w:rFonts w:ascii="Arial Narrow" w:hAnsi="Arial Narrow"/>
                <w:lang w:eastAsia="en-US"/>
              </w:rPr>
              <w:t>5</w:t>
            </w:r>
            <w:r>
              <w:rPr>
                <w:rFonts w:ascii="Arial Narrow" w:hAnsi="Arial Narrow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3A6C2984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14:paraId="628190FB" w14:textId="41E8EBAF"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082A08">
              <w:rPr>
                <w:rFonts w:ascii="Arial Narrow" w:hAnsi="Arial Narrow"/>
                <w:shd w:val="clear" w:color="auto" w:fill="FFFFFF"/>
                <w:lang w:eastAsia="en-US"/>
              </w:rPr>
              <w:t>2</w:t>
            </w:r>
            <w:r w:rsidR="0034615E">
              <w:rPr>
                <w:rFonts w:ascii="Arial Narrow" w:hAnsi="Arial Narrow"/>
                <w:shd w:val="clear" w:color="auto" w:fill="FFFFFF"/>
                <w:lang w:eastAsia="en-US"/>
              </w:rPr>
              <w:t>0</w:t>
            </w:r>
            <w:r w:rsidR="003F6AB8">
              <w:rPr>
                <w:rFonts w:ascii="Arial Narrow" w:hAnsi="Arial Narrow"/>
                <w:shd w:val="clear" w:color="auto" w:fill="FFFFFF"/>
                <w:lang w:eastAsia="en-US"/>
              </w:rPr>
              <w:t>.</w:t>
            </w:r>
            <w:r w:rsidR="00D63976">
              <w:rPr>
                <w:rFonts w:ascii="Arial Narrow" w:hAnsi="Arial Narrow"/>
                <w:shd w:val="clear" w:color="auto" w:fill="FFFFFF"/>
                <w:lang w:eastAsia="en-US"/>
              </w:rPr>
              <w:t>1</w:t>
            </w:r>
            <w:r w:rsidR="0034615E">
              <w:rPr>
                <w:rFonts w:ascii="Arial Narrow" w:hAnsi="Arial Narrow"/>
                <w:shd w:val="clear" w:color="auto" w:fill="FFFFFF"/>
                <w:lang w:eastAsia="en-US"/>
              </w:rPr>
              <w:t>1</w:t>
            </w:r>
            <w:r w:rsidR="003F6AB8">
              <w:rPr>
                <w:rFonts w:ascii="Arial Narrow" w:hAnsi="Arial Narrow"/>
                <w:shd w:val="clear" w:color="auto" w:fill="FFFFFF"/>
                <w:lang w:eastAsia="en-US"/>
              </w:rPr>
              <w:t>.202</w:t>
            </w:r>
            <w:r w:rsidR="00D63976">
              <w:rPr>
                <w:rFonts w:ascii="Arial Narrow" w:hAnsi="Arial Narrow"/>
                <w:shd w:val="clear" w:color="auto" w:fill="FFFFFF"/>
                <w:lang w:eastAsia="en-US"/>
              </w:rPr>
              <w:t>3</w:t>
            </w:r>
          </w:p>
          <w:p w14:paraId="1FA3D9D5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14:paraId="51DF1124" w14:textId="77777777" w:rsidR="00437689" w:rsidRPr="002C4670" w:rsidRDefault="00437689" w:rsidP="00437689">
      <w:pPr>
        <w:tabs>
          <w:tab w:val="left" w:pos="432"/>
          <w:tab w:val="left" w:pos="8100"/>
        </w:tabs>
        <w:rPr>
          <w:rFonts w:ascii="Arial Narrow" w:hAnsi="Arial Narrow"/>
          <w:sz w:val="24"/>
          <w:szCs w:val="24"/>
        </w:rPr>
      </w:pPr>
      <w:r w:rsidRPr="002C4670">
        <w:rPr>
          <w:rFonts w:ascii="Arial Narrow" w:hAnsi="Arial Narrow"/>
          <w:sz w:val="24"/>
          <w:szCs w:val="24"/>
        </w:rPr>
        <w:t>Vec</w:t>
      </w:r>
      <w:r w:rsidR="00874C52">
        <w:rPr>
          <w:rFonts w:ascii="Arial Narrow" w:hAnsi="Arial Narrow"/>
          <w:sz w:val="24"/>
          <w:szCs w:val="24"/>
        </w:rPr>
        <w:t>:</w:t>
      </w:r>
      <w:r w:rsidRPr="002C4670">
        <w:rPr>
          <w:rFonts w:ascii="Arial Narrow" w:hAnsi="Arial Narrow"/>
          <w:sz w:val="24"/>
          <w:szCs w:val="24"/>
        </w:rPr>
        <w:tab/>
      </w:r>
    </w:p>
    <w:p w14:paraId="6BB7B7F8" w14:textId="77777777" w:rsidR="0034615E" w:rsidRPr="003A0189" w:rsidRDefault="0034615E" w:rsidP="0034615E">
      <w:pPr>
        <w:pStyle w:val="Default"/>
        <w:rPr>
          <w:rFonts w:ascii="Calibri" w:hAnsi="Calibri" w:cs="Calibri"/>
        </w:rPr>
      </w:pPr>
      <w:r>
        <w:rPr>
          <w:rFonts w:ascii="Arial Narrow" w:hAnsi="Arial Narrow"/>
          <w:b/>
          <w:sz w:val="22"/>
          <w:szCs w:val="22"/>
        </w:rPr>
        <w:t>Výzbrojný materiál - časť 4</w:t>
      </w:r>
      <w:r w:rsidRPr="003A0189">
        <w:rPr>
          <w:rFonts w:ascii="Calibri" w:hAnsi="Calibri" w:cs="Calibri"/>
          <w:b/>
          <w:bCs/>
          <w:sz w:val="22"/>
          <w:szCs w:val="22"/>
        </w:rPr>
        <w:t xml:space="preserve">: Podporná </w:t>
      </w:r>
      <w:proofErr w:type="spellStart"/>
      <w:r w:rsidRPr="003A0189">
        <w:rPr>
          <w:rFonts w:ascii="Calibri" w:hAnsi="Calibri" w:cs="Calibri"/>
          <w:b/>
          <w:bCs/>
          <w:sz w:val="22"/>
          <w:szCs w:val="22"/>
        </w:rPr>
        <w:t>ostreľovacia</w:t>
      </w:r>
      <w:proofErr w:type="spellEnd"/>
      <w:r w:rsidRPr="003A0189">
        <w:rPr>
          <w:rFonts w:ascii="Calibri" w:hAnsi="Calibri" w:cs="Calibri"/>
          <w:b/>
          <w:bCs/>
          <w:sz w:val="22"/>
          <w:szCs w:val="22"/>
        </w:rPr>
        <w:t xml:space="preserve"> puška s príslušenstvom </w:t>
      </w:r>
      <w:r>
        <w:rPr>
          <w:rFonts w:ascii="Arial Narrow" w:hAnsi="Arial Narrow"/>
          <w:b/>
          <w:sz w:val="22"/>
          <w:szCs w:val="22"/>
        </w:rPr>
        <w:t>- oznámenie o výsledku vybavenia  žiadosti o nápravu</w:t>
      </w:r>
    </w:p>
    <w:p w14:paraId="4D905E37" w14:textId="77777777" w:rsidR="00C079A6" w:rsidRDefault="00C079A6" w:rsidP="00C079A6">
      <w:pPr>
        <w:ind w:right="141"/>
        <w:jc w:val="both"/>
        <w:rPr>
          <w:rFonts w:ascii="Arial Narrow" w:hAnsi="Arial Narrow"/>
          <w:b/>
          <w:sz w:val="22"/>
          <w:szCs w:val="22"/>
        </w:rPr>
      </w:pPr>
    </w:p>
    <w:p w14:paraId="367B373A" w14:textId="15A99868" w:rsidR="00437689" w:rsidRPr="003F6AB8" w:rsidRDefault="00C079A6" w:rsidP="00C320E2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b/>
          <w:sz w:val="22"/>
          <w:szCs w:val="22"/>
        </w:rPr>
        <w:t xml:space="preserve">          </w:t>
      </w:r>
      <w:r w:rsidR="00437689" w:rsidRPr="003F6AB8">
        <w:rPr>
          <w:rFonts w:ascii="Arial Narrow" w:hAnsi="Arial Narrow" w:cs="Arial"/>
          <w:sz w:val="22"/>
          <w:szCs w:val="22"/>
        </w:rPr>
        <w:t xml:space="preserve">Dňa </w:t>
      </w:r>
      <w:bookmarkStart w:id="0" w:name="datum_dorucenia"/>
      <w:r w:rsidR="0034615E">
        <w:rPr>
          <w:rFonts w:ascii="Arial Narrow" w:hAnsi="Arial Narrow" w:cs="Arial"/>
          <w:sz w:val="22"/>
          <w:szCs w:val="22"/>
        </w:rPr>
        <w:t>17</w:t>
      </w:r>
      <w:r w:rsidR="00437689" w:rsidRPr="003F6AB8">
        <w:rPr>
          <w:rFonts w:ascii="Arial Narrow" w:hAnsi="Arial Narrow" w:cs="Arial"/>
          <w:sz w:val="22"/>
          <w:szCs w:val="22"/>
        </w:rPr>
        <w:t>.</w:t>
      </w:r>
      <w:r w:rsidR="00D63976">
        <w:rPr>
          <w:rFonts w:ascii="Arial Narrow" w:hAnsi="Arial Narrow" w:cs="Arial"/>
          <w:sz w:val="22"/>
          <w:szCs w:val="22"/>
        </w:rPr>
        <w:t>1</w:t>
      </w:r>
      <w:r w:rsidR="0034615E">
        <w:rPr>
          <w:rFonts w:ascii="Arial Narrow" w:hAnsi="Arial Narrow" w:cs="Arial"/>
          <w:sz w:val="22"/>
          <w:szCs w:val="22"/>
        </w:rPr>
        <w:t>1</w:t>
      </w:r>
      <w:r w:rsidR="00437689" w:rsidRPr="003F6AB8">
        <w:rPr>
          <w:rFonts w:ascii="Arial Narrow" w:hAnsi="Arial Narrow" w:cs="Arial"/>
          <w:sz w:val="22"/>
          <w:szCs w:val="22"/>
        </w:rPr>
        <w:t>.202</w:t>
      </w:r>
      <w:r w:rsidR="00D63976">
        <w:rPr>
          <w:rFonts w:ascii="Arial Narrow" w:hAnsi="Arial Narrow" w:cs="Arial"/>
          <w:sz w:val="22"/>
          <w:szCs w:val="22"/>
        </w:rPr>
        <w:t>3</w:t>
      </w:r>
      <w:bookmarkEnd w:id="0"/>
      <w:r w:rsidR="00437689" w:rsidRPr="003F6AB8">
        <w:rPr>
          <w:rFonts w:ascii="Arial Narrow" w:hAnsi="Arial Narrow" w:cs="Arial"/>
          <w:sz w:val="22"/>
          <w:szCs w:val="22"/>
        </w:rPr>
        <w:t xml:space="preserve"> bola na Ministerstvo vnútra Slovenskej republiky</w:t>
      </w:r>
      <w:r w:rsidR="00122BAB" w:rsidRPr="003F6AB8">
        <w:rPr>
          <w:rFonts w:ascii="Arial Narrow" w:hAnsi="Arial Narrow" w:cs="Arial"/>
          <w:sz w:val="22"/>
          <w:szCs w:val="22"/>
        </w:rPr>
        <w:t xml:space="preserve"> </w:t>
      </w:r>
      <w:r w:rsidR="00437689" w:rsidRPr="003F6AB8">
        <w:rPr>
          <w:rFonts w:ascii="Arial Narrow" w:hAnsi="Arial Narrow" w:cs="Arial"/>
          <w:sz w:val="22"/>
          <w:szCs w:val="22"/>
        </w:rPr>
        <w:t>ako verejnému obstarávateľovi (ďalej len „verejný obstarávateľ“) doručená žiadosť o nápravu podľa § 164 ods.1 písm. b) zákona č. 343/2015 Z. z. o verejnom obstarávaní a o zmene a</w:t>
      </w:r>
      <w:r w:rsidR="003F6AB8" w:rsidRPr="003F6AB8">
        <w:rPr>
          <w:rFonts w:ascii="Arial Narrow" w:hAnsi="Arial Narrow" w:cs="Arial"/>
          <w:sz w:val="22"/>
          <w:szCs w:val="22"/>
        </w:rPr>
        <w:t xml:space="preserve"> </w:t>
      </w:r>
      <w:r w:rsidR="00437689" w:rsidRPr="003F6AB8">
        <w:rPr>
          <w:rFonts w:ascii="Arial Narrow" w:hAnsi="Arial Narrow" w:cs="Arial"/>
          <w:sz w:val="22"/>
          <w:szCs w:val="22"/>
        </w:rPr>
        <w:t> doplnení niektorých zákonov v </w:t>
      </w:r>
      <w:r w:rsidR="003F6AB8" w:rsidRPr="003F6AB8">
        <w:rPr>
          <w:rFonts w:ascii="Arial Narrow" w:hAnsi="Arial Narrow" w:cs="Arial"/>
          <w:sz w:val="22"/>
          <w:szCs w:val="22"/>
        </w:rPr>
        <w:t xml:space="preserve"> </w:t>
      </w:r>
      <w:r w:rsidR="00437689" w:rsidRPr="003F6AB8">
        <w:rPr>
          <w:rFonts w:ascii="Arial Narrow" w:hAnsi="Arial Narrow" w:cs="Arial"/>
          <w:sz w:val="22"/>
          <w:szCs w:val="22"/>
        </w:rPr>
        <w:t>znení neskorších predpisov (ďalej len „zákon“) proti podmienkam uvedeným v súťažných podkladoch vo verejnej súťaži na predmet zákazky „</w:t>
      </w:r>
      <w:r w:rsidR="00D63976">
        <w:rPr>
          <w:rFonts w:ascii="Arial Narrow" w:hAnsi="Arial Narrow"/>
          <w:b/>
          <w:sz w:val="22"/>
          <w:szCs w:val="22"/>
        </w:rPr>
        <w:t xml:space="preserve">Výzbrojný materiál – časť </w:t>
      </w:r>
      <w:r w:rsidR="0034615E">
        <w:rPr>
          <w:rFonts w:ascii="Arial Narrow" w:hAnsi="Arial Narrow"/>
          <w:b/>
          <w:sz w:val="22"/>
          <w:szCs w:val="22"/>
        </w:rPr>
        <w:t>4</w:t>
      </w:r>
      <w:r w:rsidR="00D63976">
        <w:rPr>
          <w:rFonts w:ascii="Arial Narrow" w:hAnsi="Arial Narrow"/>
          <w:b/>
          <w:sz w:val="22"/>
          <w:szCs w:val="22"/>
        </w:rPr>
        <w:t xml:space="preserve"> </w:t>
      </w:r>
      <w:r w:rsidR="0034615E" w:rsidRPr="003A0189">
        <w:rPr>
          <w:rFonts w:ascii="Calibri" w:hAnsi="Calibri" w:cs="Calibri"/>
          <w:b/>
          <w:bCs/>
          <w:sz w:val="22"/>
          <w:szCs w:val="22"/>
        </w:rPr>
        <w:t xml:space="preserve">Podporná </w:t>
      </w:r>
      <w:proofErr w:type="spellStart"/>
      <w:r w:rsidR="0034615E" w:rsidRPr="003A0189">
        <w:rPr>
          <w:rFonts w:ascii="Calibri" w:hAnsi="Calibri" w:cs="Calibri"/>
          <w:b/>
          <w:bCs/>
          <w:sz w:val="22"/>
          <w:szCs w:val="22"/>
        </w:rPr>
        <w:t>ostreľovacia</w:t>
      </w:r>
      <w:proofErr w:type="spellEnd"/>
      <w:r w:rsidR="0034615E" w:rsidRPr="003A0189">
        <w:rPr>
          <w:rFonts w:ascii="Calibri" w:hAnsi="Calibri" w:cs="Calibri"/>
          <w:b/>
          <w:bCs/>
          <w:sz w:val="22"/>
          <w:szCs w:val="22"/>
        </w:rPr>
        <w:t xml:space="preserve"> puška s príslušenstvom</w:t>
      </w:r>
      <w:r w:rsidR="00437689" w:rsidRPr="003F6AB8">
        <w:rPr>
          <w:rFonts w:ascii="Arial Narrow" w:hAnsi="Arial Narrow"/>
          <w:b/>
          <w:bCs/>
          <w:sz w:val="22"/>
          <w:szCs w:val="22"/>
        </w:rPr>
        <w:t>“</w:t>
      </w:r>
      <w:r w:rsidR="00437689" w:rsidRPr="003F6AB8">
        <w:rPr>
          <w:rFonts w:ascii="Arial Narrow" w:hAnsi="Arial Narrow"/>
          <w:bCs/>
          <w:sz w:val="22"/>
          <w:szCs w:val="22"/>
        </w:rPr>
        <w:t xml:space="preserve">, ktorej </w:t>
      </w:r>
      <w:bookmarkStart w:id="1" w:name="druh_ziadosti"/>
      <w:r w:rsidR="00437689" w:rsidRPr="003F6AB8">
        <w:rPr>
          <w:rFonts w:ascii="Arial Narrow" w:hAnsi="Arial Narrow"/>
          <w:bCs/>
          <w:sz w:val="22"/>
          <w:szCs w:val="22"/>
        </w:rPr>
        <w:t>o</w:t>
      </w:r>
      <w:r w:rsidR="00437689" w:rsidRPr="003F6AB8">
        <w:rPr>
          <w:rFonts w:ascii="Arial Narrow" w:hAnsi="Arial Narrow"/>
          <w:sz w:val="22"/>
          <w:szCs w:val="22"/>
        </w:rPr>
        <w:t xml:space="preserve">známenie o vyhlásení verejného obstarávania bolo uverejnené </w:t>
      </w:r>
      <w:r w:rsidR="00437689" w:rsidRPr="003F6AB8">
        <w:rPr>
          <w:rFonts w:ascii="Arial Narrow" w:hAnsi="Arial Narrow" w:cs="Arial"/>
          <w:sz w:val="22"/>
          <w:szCs w:val="22"/>
        </w:rPr>
        <w:t xml:space="preserve">v Úradnom vestníku EÚ </w:t>
      </w:r>
      <w:r w:rsidR="00437689" w:rsidRPr="003F6AB8">
        <w:rPr>
          <w:rFonts w:ascii="Arial Narrow" w:hAnsi="Arial Narrow"/>
          <w:sz w:val="22"/>
          <w:szCs w:val="22"/>
        </w:rPr>
        <w:t xml:space="preserve">pod zn. </w:t>
      </w:r>
      <w:bookmarkEnd w:id="1"/>
      <w:r w:rsidR="00437689" w:rsidRPr="003F6AB8">
        <w:rPr>
          <w:rFonts w:ascii="Arial Narrow" w:hAnsi="Arial Narrow"/>
          <w:sz w:val="22"/>
          <w:szCs w:val="22"/>
        </w:rPr>
        <w:t>pod zn. 202</w:t>
      </w:r>
      <w:r w:rsidR="00D63976">
        <w:rPr>
          <w:rFonts w:ascii="Arial Narrow" w:hAnsi="Arial Narrow"/>
          <w:sz w:val="22"/>
          <w:szCs w:val="22"/>
        </w:rPr>
        <w:t>3</w:t>
      </w:r>
      <w:r w:rsidR="00437689" w:rsidRPr="003F6AB8">
        <w:rPr>
          <w:rFonts w:ascii="Arial Narrow" w:hAnsi="Arial Narrow"/>
          <w:sz w:val="22"/>
          <w:szCs w:val="22"/>
        </w:rPr>
        <w:t xml:space="preserve">/S </w:t>
      </w:r>
      <w:r w:rsidR="00D63976">
        <w:rPr>
          <w:rFonts w:ascii="Arial Narrow" w:hAnsi="Arial Narrow"/>
          <w:sz w:val="22"/>
          <w:szCs w:val="22"/>
        </w:rPr>
        <w:t>183</w:t>
      </w:r>
      <w:r w:rsidR="00437689" w:rsidRPr="003F6AB8">
        <w:rPr>
          <w:rFonts w:ascii="Arial Narrow" w:hAnsi="Arial Narrow"/>
          <w:sz w:val="22"/>
          <w:szCs w:val="22"/>
        </w:rPr>
        <w:t>-</w:t>
      </w:r>
      <w:r w:rsidR="00D63976">
        <w:rPr>
          <w:rFonts w:ascii="Arial Narrow" w:hAnsi="Arial Narrow"/>
          <w:sz w:val="22"/>
          <w:szCs w:val="22"/>
        </w:rPr>
        <w:t>571393</w:t>
      </w:r>
      <w:r w:rsidR="00437689" w:rsidRPr="003F6AB8">
        <w:rPr>
          <w:rFonts w:ascii="Arial Narrow" w:hAnsi="Arial Narrow"/>
          <w:sz w:val="22"/>
          <w:szCs w:val="22"/>
        </w:rPr>
        <w:t xml:space="preserve"> zo dňa </w:t>
      </w:r>
      <w:r w:rsidR="00D63976">
        <w:rPr>
          <w:rFonts w:ascii="Arial Narrow" w:hAnsi="Arial Narrow"/>
          <w:sz w:val="22"/>
          <w:szCs w:val="22"/>
        </w:rPr>
        <w:t>22</w:t>
      </w:r>
      <w:r w:rsidR="00437689" w:rsidRPr="003F6AB8">
        <w:rPr>
          <w:rFonts w:ascii="Arial Narrow" w:hAnsi="Arial Narrow"/>
          <w:sz w:val="22"/>
          <w:szCs w:val="22"/>
        </w:rPr>
        <w:t>.</w:t>
      </w:r>
      <w:r w:rsidR="003F6A04">
        <w:rPr>
          <w:rFonts w:ascii="Arial Narrow" w:hAnsi="Arial Narrow"/>
          <w:sz w:val="22"/>
          <w:szCs w:val="22"/>
        </w:rPr>
        <w:t>0</w:t>
      </w:r>
      <w:r w:rsidR="00D63976">
        <w:rPr>
          <w:rFonts w:ascii="Arial Narrow" w:hAnsi="Arial Narrow"/>
          <w:sz w:val="22"/>
          <w:szCs w:val="22"/>
        </w:rPr>
        <w:t>9</w:t>
      </w:r>
      <w:r w:rsidR="00437689" w:rsidRPr="003F6AB8">
        <w:rPr>
          <w:rFonts w:ascii="Arial Narrow" w:hAnsi="Arial Narrow"/>
          <w:sz w:val="22"/>
          <w:szCs w:val="22"/>
        </w:rPr>
        <w:t>.202</w:t>
      </w:r>
      <w:r w:rsidR="00D63976">
        <w:rPr>
          <w:rFonts w:ascii="Arial Narrow" w:hAnsi="Arial Narrow"/>
          <w:sz w:val="22"/>
          <w:szCs w:val="22"/>
        </w:rPr>
        <w:t>3</w:t>
      </w:r>
      <w:r w:rsidR="00437689" w:rsidRPr="003F6AB8">
        <w:rPr>
          <w:rFonts w:ascii="Arial Narrow" w:hAnsi="Arial Narrow"/>
          <w:sz w:val="22"/>
          <w:szCs w:val="22"/>
        </w:rPr>
        <w:t xml:space="preserve"> </w:t>
      </w:r>
      <w:r w:rsidR="00437689" w:rsidRPr="003F6AB8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="00437689" w:rsidRPr="003F6AB8">
        <w:rPr>
          <w:rFonts w:ascii="Arial Narrow" w:hAnsi="Arial Narrow"/>
          <w:sz w:val="22"/>
          <w:szCs w:val="22"/>
        </w:rPr>
        <w:t>č.</w:t>
      </w:r>
      <w:r w:rsidR="00D63976">
        <w:rPr>
          <w:rFonts w:ascii="Arial Narrow" w:hAnsi="Arial Narrow"/>
          <w:sz w:val="22"/>
          <w:szCs w:val="22"/>
        </w:rPr>
        <w:t>186</w:t>
      </w:r>
      <w:r w:rsidR="00437689" w:rsidRPr="003F6AB8">
        <w:rPr>
          <w:rFonts w:ascii="Arial Narrow" w:hAnsi="Arial Narrow"/>
          <w:sz w:val="22"/>
          <w:szCs w:val="22"/>
        </w:rPr>
        <w:t>/202</w:t>
      </w:r>
      <w:r w:rsidR="00D63976">
        <w:rPr>
          <w:rFonts w:ascii="Arial Narrow" w:hAnsi="Arial Narrow"/>
          <w:sz w:val="22"/>
          <w:szCs w:val="22"/>
        </w:rPr>
        <w:t>3</w:t>
      </w:r>
      <w:r w:rsidR="00437689" w:rsidRPr="003F6AB8">
        <w:rPr>
          <w:rFonts w:ascii="Arial Narrow" w:hAnsi="Arial Narrow"/>
          <w:sz w:val="22"/>
          <w:szCs w:val="22"/>
        </w:rPr>
        <w:t xml:space="preserve"> zo dňa </w:t>
      </w:r>
      <w:r w:rsidR="00D63976">
        <w:rPr>
          <w:rFonts w:ascii="Arial Narrow" w:hAnsi="Arial Narrow"/>
          <w:sz w:val="22"/>
          <w:szCs w:val="22"/>
        </w:rPr>
        <w:t>25</w:t>
      </w:r>
      <w:r w:rsidR="00437689" w:rsidRPr="003F6AB8">
        <w:rPr>
          <w:rFonts w:ascii="Arial Narrow" w:hAnsi="Arial Narrow"/>
          <w:sz w:val="22"/>
          <w:szCs w:val="22"/>
        </w:rPr>
        <w:t>.</w:t>
      </w:r>
      <w:r w:rsidR="003F6A04">
        <w:rPr>
          <w:rFonts w:ascii="Arial Narrow" w:hAnsi="Arial Narrow"/>
          <w:sz w:val="22"/>
          <w:szCs w:val="22"/>
        </w:rPr>
        <w:t>0</w:t>
      </w:r>
      <w:r w:rsidR="00D63976">
        <w:rPr>
          <w:rFonts w:ascii="Arial Narrow" w:hAnsi="Arial Narrow"/>
          <w:sz w:val="22"/>
          <w:szCs w:val="22"/>
        </w:rPr>
        <w:t>9</w:t>
      </w:r>
      <w:r w:rsidR="00437689" w:rsidRPr="003F6AB8">
        <w:rPr>
          <w:rFonts w:ascii="Arial Narrow" w:hAnsi="Arial Narrow"/>
          <w:sz w:val="22"/>
          <w:szCs w:val="22"/>
        </w:rPr>
        <w:t>.202</w:t>
      </w:r>
      <w:r w:rsidR="00D63976">
        <w:rPr>
          <w:rFonts w:ascii="Arial Narrow" w:hAnsi="Arial Narrow"/>
          <w:sz w:val="22"/>
          <w:szCs w:val="22"/>
        </w:rPr>
        <w:t>3</w:t>
      </w:r>
      <w:r w:rsidR="00437689" w:rsidRPr="003F6AB8">
        <w:rPr>
          <w:rFonts w:ascii="Arial Narrow" w:hAnsi="Arial Narrow"/>
          <w:sz w:val="22"/>
          <w:szCs w:val="22"/>
        </w:rPr>
        <w:t xml:space="preserve"> pod zn.</w:t>
      </w:r>
      <w:r w:rsidR="00D63976">
        <w:rPr>
          <w:rFonts w:ascii="Arial Narrow" w:hAnsi="Arial Narrow"/>
          <w:sz w:val="22"/>
          <w:szCs w:val="22"/>
        </w:rPr>
        <w:t>31783</w:t>
      </w:r>
      <w:r w:rsidR="00437689" w:rsidRPr="003F6AB8">
        <w:rPr>
          <w:rFonts w:ascii="Arial Narrow" w:hAnsi="Arial Narrow"/>
          <w:sz w:val="22"/>
          <w:szCs w:val="22"/>
        </w:rPr>
        <w:t>-MS</w:t>
      </w:r>
      <w:r w:rsidR="00D63976">
        <w:rPr>
          <w:rFonts w:ascii="Arial Narrow" w:hAnsi="Arial Narrow"/>
          <w:sz w:val="22"/>
          <w:szCs w:val="22"/>
        </w:rPr>
        <w:t>T</w:t>
      </w:r>
      <w:r w:rsidR="00437689" w:rsidRPr="003F6AB8">
        <w:rPr>
          <w:rFonts w:ascii="Arial Narrow" w:hAnsi="Arial Narrow"/>
          <w:sz w:val="22"/>
          <w:szCs w:val="22"/>
        </w:rPr>
        <w:t>.</w:t>
      </w:r>
    </w:p>
    <w:p w14:paraId="30027E58" w14:textId="77777777" w:rsidR="00437689" w:rsidRPr="003F6AB8" w:rsidRDefault="00437689" w:rsidP="00437689">
      <w:pPr>
        <w:ind w:firstLine="567"/>
        <w:jc w:val="both"/>
        <w:rPr>
          <w:rFonts w:ascii="Arial Narrow" w:hAnsi="Arial Narrow"/>
          <w:sz w:val="22"/>
          <w:szCs w:val="22"/>
        </w:rPr>
      </w:pPr>
    </w:p>
    <w:p w14:paraId="6AB5BA60" w14:textId="0FF431D6" w:rsidR="00AC11C1" w:rsidRPr="003F6AB8" w:rsidRDefault="00874C52" w:rsidP="00F430C1">
      <w:pPr>
        <w:tabs>
          <w:tab w:val="left" w:pos="567"/>
        </w:tabs>
        <w:jc w:val="both"/>
        <w:rPr>
          <w:rFonts w:ascii="Arial Narrow" w:hAnsi="Arial Narrow"/>
          <w:b/>
          <w:sz w:val="22"/>
          <w:szCs w:val="22"/>
        </w:rPr>
      </w:pPr>
      <w:r w:rsidRPr="003F6AB8">
        <w:rPr>
          <w:rFonts w:ascii="Arial Narrow" w:hAnsi="Arial Narrow" w:cs="Arial"/>
          <w:sz w:val="22"/>
          <w:szCs w:val="22"/>
        </w:rPr>
        <w:t xml:space="preserve">          </w:t>
      </w:r>
      <w:r w:rsidR="00AC11C1" w:rsidRPr="003F6AB8">
        <w:rPr>
          <w:rFonts w:ascii="Arial Narrow" w:hAnsi="Arial Narrow" w:cs="Arial"/>
          <w:sz w:val="22"/>
          <w:szCs w:val="22"/>
        </w:rPr>
        <w:t xml:space="preserve">Verejný obstarávateľ po preskúmaní </w:t>
      </w:r>
      <w:r w:rsidR="00AC11C1" w:rsidRPr="003F6AB8">
        <w:rPr>
          <w:rFonts w:ascii="Arial Narrow" w:hAnsi="Arial Narrow"/>
          <w:sz w:val="22"/>
          <w:szCs w:val="22"/>
        </w:rPr>
        <w:t>rozhodujúcich skutočností a </w:t>
      </w:r>
      <w:r w:rsidR="003F6AB8" w:rsidRPr="003F6AB8">
        <w:rPr>
          <w:rFonts w:ascii="Arial Narrow" w:hAnsi="Arial Narrow"/>
          <w:sz w:val="22"/>
          <w:szCs w:val="22"/>
        </w:rPr>
        <w:t xml:space="preserve"> </w:t>
      </w:r>
      <w:r w:rsidR="00AC11C1" w:rsidRPr="003F6AB8">
        <w:rPr>
          <w:rFonts w:ascii="Arial Narrow" w:hAnsi="Arial Narrow"/>
          <w:sz w:val="22"/>
          <w:szCs w:val="22"/>
        </w:rPr>
        <w:t xml:space="preserve">dôkazov </w:t>
      </w:r>
      <w:r w:rsidR="00AC11C1" w:rsidRPr="003F6AB8">
        <w:rPr>
          <w:rFonts w:ascii="Arial Narrow" w:hAnsi="Arial Narrow" w:cs="Arial"/>
          <w:sz w:val="22"/>
          <w:szCs w:val="22"/>
        </w:rPr>
        <w:t xml:space="preserve">uvedených v žiadosti o nápravu </w:t>
      </w:r>
      <w:r w:rsidR="00AC11C1" w:rsidRPr="003F6AB8">
        <w:rPr>
          <w:rFonts w:ascii="Arial Narrow" w:hAnsi="Arial Narrow"/>
          <w:sz w:val="22"/>
          <w:szCs w:val="22"/>
        </w:rPr>
        <w:t>ozn</w:t>
      </w:r>
      <w:r w:rsidR="00247253">
        <w:rPr>
          <w:rFonts w:ascii="Arial Narrow" w:hAnsi="Arial Narrow"/>
          <w:sz w:val="22"/>
          <w:szCs w:val="22"/>
        </w:rPr>
        <w:t>á</w:t>
      </w:r>
      <w:r w:rsidR="00AC11C1" w:rsidRPr="003F6AB8">
        <w:rPr>
          <w:rFonts w:ascii="Arial Narrow" w:hAnsi="Arial Narrow"/>
          <w:sz w:val="22"/>
          <w:szCs w:val="22"/>
        </w:rPr>
        <w:t>m</w:t>
      </w:r>
      <w:r w:rsidR="00247253">
        <w:rPr>
          <w:rFonts w:ascii="Arial Narrow" w:hAnsi="Arial Narrow"/>
          <w:sz w:val="22"/>
          <w:szCs w:val="22"/>
        </w:rPr>
        <w:t>il</w:t>
      </w:r>
      <w:r w:rsidR="00AC11C1" w:rsidRPr="003F6AB8">
        <w:rPr>
          <w:rFonts w:ascii="Arial Narrow" w:hAnsi="Arial Narrow"/>
          <w:sz w:val="22"/>
          <w:szCs w:val="22"/>
        </w:rPr>
        <w:t xml:space="preserve"> žiadateľovi, že jeho žiadosť o nápravu </w:t>
      </w:r>
      <w:r w:rsidR="0047516F">
        <w:rPr>
          <w:rFonts w:ascii="Arial Narrow" w:hAnsi="Arial Narrow"/>
          <w:sz w:val="22"/>
          <w:szCs w:val="22"/>
        </w:rPr>
        <w:t xml:space="preserve">bola </w:t>
      </w:r>
      <w:r w:rsidR="00AC11C1" w:rsidRPr="003F6AB8">
        <w:rPr>
          <w:rFonts w:ascii="Arial Narrow" w:hAnsi="Arial Narrow"/>
          <w:sz w:val="22"/>
          <w:szCs w:val="22"/>
        </w:rPr>
        <w:t xml:space="preserve">podľa § 165 ods. 3 písm. </w:t>
      </w:r>
      <w:r w:rsidR="00A65FE4">
        <w:rPr>
          <w:rFonts w:ascii="Arial Narrow" w:hAnsi="Arial Narrow"/>
          <w:sz w:val="22"/>
          <w:szCs w:val="22"/>
        </w:rPr>
        <w:t>a</w:t>
      </w:r>
      <w:r w:rsidR="00AC11C1" w:rsidRPr="003F6AB8">
        <w:rPr>
          <w:rFonts w:ascii="Arial Narrow" w:hAnsi="Arial Narrow"/>
          <w:sz w:val="22"/>
          <w:szCs w:val="22"/>
        </w:rPr>
        <w:t>) zákona</w:t>
      </w:r>
      <w:r w:rsidR="00122BAB" w:rsidRPr="003F6AB8">
        <w:rPr>
          <w:rFonts w:ascii="Arial Narrow" w:hAnsi="Arial Narrow"/>
          <w:sz w:val="22"/>
          <w:szCs w:val="22"/>
        </w:rPr>
        <w:t xml:space="preserve"> </w:t>
      </w:r>
      <w:r w:rsidR="00A65FE4">
        <w:rPr>
          <w:rFonts w:ascii="Arial Narrow" w:hAnsi="Arial Narrow"/>
          <w:b/>
          <w:sz w:val="22"/>
          <w:szCs w:val="22"/>
        </w:rPr>
        <w:t>vybavená</w:t>
      </w:r>
      <w:r w:rsidR="00AC11C1" w:rsidRPr="003F6AB8">
        <w:rPr>
          <w:rFonts w:ascii="Arial Narrow" w:hAnsi="Arial Narrow"/>
          <w:b/>
          <w:sz w:val="22"/>
          <w:szCs w:val="22"/>
        </w:rPr>
        <w:t>.</w:t>
      </w:r>
    </w:p>
    <w:p w14:paraId="58BBEEDB" w14:textId="77777777" w:rsidR="00F1484B" w:rsidRPr="003F6AB8" w:rsidRDefault="00F1484B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3CC73CAC" w14:textId="77777777" w:rsidR="00F2268B" w:rsidRDefault="00874C52" w:rsidP="00F2268B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 xml:space="preserve"> </w:t>
      </w:r>
      <w:r w:rsidR="00F2268B" w:rsidRPr="003F6AB8">
        <w:rPr>
          <w:rFonts w:ascii="Arial Narrow" w:hAnsi="Arial Narrow"/>
          <w:sz w:val="22"/>
          <w:szCs w:val="22"/>
        </w:rPr>
        <w:t>Žiadateľ vo svojej žiadosti uviedol:</w:t>
      </w:r>
    </w:p>
    <w:p w14:paraId="426F68A7" w14:textId="77777777" w:rsidR="00DC527F" w:rsidRDefault="00DC527F" w:rsidP="00F2268B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17BC9C67" w14:textId="77777777" w:rsidR="00DC527F" w:rsidRDefault="00DC527F" w:rsidP="00DC527F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>Opis rozhodujúcich skutočností</w:t>
      </w:r>
    </w:p>
    <w:p w14:paraId="492BB522" w14:textId="77777777" w:rsidR="00D63976" w:rsidRPr="00D63976" w:rsidRDefault="00D63976" w:rsidP="00D63976">
      <w:pPr>
        <w:overflowPunct/>
        <w:textAlignment w:val="auto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4E3D7D52" w14:textId="77777777" w:rsidR="0034615E" w:rsidRPr="003A0189" w:rsidRDefault="0034615E" w:rsidP="0034615E">
      <w:pPr>
        <w:pStyle w:val="Default"/>
        <w:rPr>
          <w:rFonts w:ascii="Arial Narrow" w:hAnsi="Arial Narrow" w:cs="Calibri"/>
          <w:sz w:val="22"/>
          <w:szCs w:val="22"/>
        </w:rPr>
      </w:pPr>
      <w:r w:rsidRPr="003A0189">
        <w:rPr>
          <w:rFonts w:ascii="Arial Narrow" w:hAnsi="Arial Narrow" w:cs="Calibri"/>
          <w:sz w:val="22"/>
          <w:szCs w:val="22"/>
        </w:rPr>
        <w:t xml:space="preserve">V zmysle §164 ods. 1 písm. b) ZVO podávame žiadosť o nápravu proti podmienkam uvedeným v iných dokumentoch potrebných na vypracovanie ponuky poskytnutých vereným obstarávateľom. </w:t>
      </w:r>
    </w:p>
    <w:p w14:paraId="27FDA488" w14:textId="77777777" w:rsidR="0034615E" w:rsidRPr="003A0189" w:rsidRDefault="0034615E" w:rsidP="0034615E">
      <w:pPr>
        <w:overflowPunct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V dokumente </w:t>
      </w:r>
      <w:r w:rsidRPr="003A0189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 xml:space="preserve">5.1.4. Príloha č.1_Opis PZ – Podporná </w:t>
      </w:r>
      <w:proofErr w:type="spellStart"/>
      <w:r w:rsidRPr="003A0189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>ostreľovacia</w:t>
      </w:r>
      <w:proofErr w:type="spellEnd"/>
      <w:r w:rsidRPr="003A0189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 xml:space="preserve"> puška s príslušenstvom - časť 4 </w:t>
      </w: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poskytnutým verejným obstarávateľom ako súčasť dokumentácie vyhlásenia verejného obstarávania v časti textu 4.1 sú pre Podporná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ostreľovacia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puška s príslušenstvom stanovené nasledovné parametre: </w:t>
      </w:r>
    </w:p>
    <w:p w14:paraId="489DC4E8" w14:textId="77777777" w:rsidR="0034615E" w:rsidRPr="003A0189" w:rsidRDefault="0034615E" w:rsidP="0034615E">
      <w:pPr>
        <w:overflowPunct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 xml:space="preserve">4.1. Podporná </w:t>
      </w:r>
      <w:proofErr w:type="spellStart"/>
      <w:r w:rsidRPr="003A0189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>ostreľovacia</w:t>
      </w:r>
      <w:proofErr w:type="spellEnd"/>
      <w:r w:rsidRPr="003A0189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 xml:space="preserve"> puška s príslušenstvom 5 ks </w:t>
      </w:r>
    </w:p>
    <w:p w14:paraId="6797C767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modulárna automatická zbraň </w:t>
      </w:r>
    </w:p>
    <w:p w14:paraId="44C9B36D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strieľajúca z uzamknutého záveru s preraďovačom režimu streľby </w:t>
      </w:r>
    </w:p>
    <w:p w14:paraId="08F543DA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kaliber 5.56x45 NATO (.223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Rem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) </w:t>
      </w:r>
    </w:p>
    <w:p w14:paraId="4438C136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Pohon automatický - založený na princípe odberu časti prachových plynov z vývrtu hlavne prostredníctvom piestu, s minimálnymi nárokmi na údržbu, s automatickou reguláciou, tzn., že obsluha zbrane v rozsahu predpokladaných prevádzkových podmienok nasadenia nemusí pohon automaticky akokoľvek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prenastavovať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, pripúšťa sa akurát zmena pozície regulátora pri aplikácii tlmiča hluku výstrelu. V takom prípade musí byť regulátor plynu pre obsluhu zbrane ľahko prístupný a ovládateľný bez náradia a to aj prípade, že je zbraň rozpálená streľbou. Regulátor nesmie byť v žiadnej konfigurácii (s nasadeným tlmičom hluku výstrelu alebo bez tlmiča) zdrojom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demaskujúcích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svetelných zábleskov </w:t>
      </w:r>
    </w:p>
    <w:p w14:paraId="5059053D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materiál úchopových častí mrazuvzdorný a nárazu vzdorný polymér, alebo iný vysoko odolný materiál, ochrana strelca pred zranením pohyblivými dielmi a popálením </w:t>
      </w:r>
    </w:p>
    <w:p w14:paraId="022AE016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lastRenderedPageBreak/>
        <w:t xml:space="preserve">hlaveň - vysoká odolnosť vývrtu proti oteru a korózii (tvrdé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chromovanie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), ľahké čistenie, ústie so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štandartizovaným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závitom 1⁄2×28 TPI (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Threads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Per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Inch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), pre zaistenie maximálnej kompatibility s na trhu dostupným príslušenstvom k puškám kalibru 5,56x45 (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plynodynamické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nástavce), dostatočne chránené proti poškodeniu </w:t>
      </w:r>
    </w:p>
    <w:p w14:paraId="41E36730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lišty pre uchytenie príslušenstva - kovové, dostatočne odolné, zaisťujúce ľahkú, rýchlu a opakovateľnú montáž zameriavačov (zachovanie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rektifikácie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) a ďalšieho príslušenstva, dolný a horný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rail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na puzdre záveru a na predpažbí (6 a 12 hod.), v špecifikácii MIL-STD-1913 (STANAG 4694) </w:t>
      </w:r>
    </w:p>
    <w:p w14:paraId="4BFA62F2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horná lišta MIL-STD-1913 (STANAG 4694) (na 12 hod.) - na puzdre záveru musí plynule nadväzovať na hornú lištu MIL-STD-1913 (STANAG 4694) na predpažbí, minimálna požadovaná súhrnná dĺžka tejto spojenej lišty MIL-STD-1913 (STANAG 4694) musí s rezervou vytvoriť dostatočný kotviaci priestor pre správnu aplikáciu všetkých na trhu obvykle užívaných zameriavacích systémov a ich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konfigurácíu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(zameriavače, modulové predsádky), so správnymi rozostupmi a v správnej polohe pre riadne užívanie a ovládanie </w:t>
      </w:r>
    </w:p>
    <w:p w14:paraId="5FB2CBD5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dolná lišta MIL-STD-1913 (STANAG 4694), alebo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Key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Mod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systém, M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Lock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systém, alebo obdobný systém (na 6 hod.) - musí s rezervou umožniť riadne uchytenie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dvojnožky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</w:t>
      </w:r>
    </w:p>
    <w:p w14:paraId="69429620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bočné stany na 3. a 9. hod -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Key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Mod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systém, M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Lock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systém, alebo obdobný systém </w:t>
      </w:r>
    </w:p>
    <w:p w14:paraId="3A862B1B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jednodielna montáž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puškohľadu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z duralovej zliatiny na lištu MIL-STD-1913 (STANAG 4694) </w:t>
      </w:r>
    </w:p>
    <w:p w14:paraId="483090B6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dĺžka zbrane: od 790 mm do 950 mm </w:t>
      </w:r>
    </w:p>
    <w:p w14:paraId="0A2C7129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dĺžka hlavne od 350 do 381 mm </w:t>
      </w:r>
    </w:p>
    <w:p w14:paraId="65FDD99B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 xml:space="preserve">max. váha zbrane bez zásobníka a príslušenstva do 3,5 kg </w:t>
      </w:r>
    </w:p>
    <w:p w14:paraId="5691F37D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stúpanie vývrtu 1:7 </w:t>
      </w:r>
    </w:p>
    <w:p w14:paraId="3836D6A1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životnosť zbrane ako celku: viac ako 20.000 výstrelov </w:t>
      </w:r>
    </w:p>
    <w:p w14:paraId="2AD4BE9F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životnosť hlavne: viac ako 15.000 výstrelov </w:t>
      </w:r>
    </w:p>
    <w:p w14:paraId="3EA1B553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funkčná spoľahlivosť v bežných podmienkach: menej ako 0,2% </w:t>
      </w:r>
    </w:p>
    <w:p w14:paraId="5CB609A4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schránkové zásobníky nabíjané zdola </w:t>
      </w:r>
    </w:p>
    <w:p w14:paraId="4E9CC646" w14:textId="77777777" w:rsidR="0034615E" w:rsidRPr="003A0189" w:rsidRDefault="0034615E" w:rsidP="0034615E">
      <w:pPr>
        <w:numPr>
          <w:ilvl w:val="0"/>
          <w:numId w:val="37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zásobníková kompatibilita (STANAG-DRAFT 4179) </w:t>
      </w:r>
    </w:p>
    <w:p w14:paraId="6F6F4245" w14:textId="77777777" w:rsidR="0034615E" w:rsidRDefault="0034615E" w:rsidP="0034615E">
      <w:pPr>
        <w:numPr>
          <w:ilvl w:val="0"/>
          <w:numId w:val="37"/>
        </w:numPr>
        <w:overflowPunct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počet a kapacita zásobníkov: 4 ks na 10 nábojov, 4 ks na 20 nábojov, 4 ks na 30 nábojov </w:t>
      </w:r>
    </w:p>
    <w:p w14:paraId="1A4E3EEA" w14:textId="77777777" w:rsidR="0034615E" w:rsidRPr="003A0189" w:rsidRDefault="0034615E" w:rsidP="0034615E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sz w:val="24"/>
          <w:szCs w:val="24"/>
          <w:lang w:eastAsia="en-US"/>
        </w:rPr>
      </w:pPr>
      <w:r w:rsidRPr="003A0189">
        <w:rPr>
          <w:rFonts w:ascii="Arial Narrow" w:eastAsiaTheme="minorHAnsi" w:hAnsi="Arial Narrow" w:cs="Calibri"/>
          <w:sz w:val="24"/>
          <w:szCs w:val="24"/>
          <w:lang w:eastAsia="en-US"/>
        </w:rPr>
        <w:t xml:space="preserve">materiál zásobníkov: oceľ </w:t>
      </w:r>
    </w:p>
    <w:p w14:paraId="46D05593" w14:textId="77777777" w:rsidR="0034615E" w:rsidRPr="003A0189" w:rsidRDefault="0034615E" w:rsidP="0034615E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sz w:val="24"/>
          <w:szCs w:val="24"/>
          <w:lang w:eastAsia="en-US"/>
        </w:rPr>
      </w:pPr>
      <w:r w:rsidRPr="003A0189">
        <w:rPr>
          <w:rFonts w:ascii="Arial Narrow" w:eastAsiaTheme="minorHAnsi" w:hAnsi="Arial Narrow" w:cs="Calibri"/>
          <w:sz w:val="24"/>
          <w:szCs w:val="24"/>
          <w:lang w:eastAsia="en-US"/>
        </w:rPr>
        <w:t xml:space="preserve">režim streľby: poloautomatický a automatický </w:t>
      </w:r>
    </w:p>
    <w:p w14:paraId="416FB594" w14:textId="77777777" w:rsidR="0034615E" w:rsidRPr="003A0189" w:rsidRDefault="0034615E" w:rsidP="0034615E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sz w:val="24"/>
          <w:szCs w:val="24"/>
          <w:lang w:eastAsia="en-US"/>
        </w:rPr>
      </w:pPr>
      <w:r w:rsidRPr="003A0189">
        <w:rPr>
          <w:rFonts w:ascii="Arial Narrow" w:eastAsiaTheme="minorHAnsi" w:hAnsi="Arial Narrow" w:cs="Calibri"/>
          <w:sz w:val="24"/>
          <w:szCs w:val="24"/>
          <w:lang w:eastAsia="en-US"/>
        </w:rPr>
        <w:t xml:space="preserve">rozptyl zbrane: do 2 MOA </w:t>
      </w:r>
    </w:p>
    <w:p w14:paraId="7595CC0C" w14:textId="77777777" w:rsidR="0034615E" w:rsidRPr="003A0189" w:rsidRDefault="0034615E" w:rsidP="0034615E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sz w:val="24"/>
          <w:szCs w:val="24"/>
          <w:lang w:eastAsia="en-US"/>
        </w:rPr>
      </w:pPr>
      <w:r w:rsidRPr="003A0189">
        <w:rPr>
          <w:rFonts w:ascii="Arial Narrow" w:eastAsiaTheme="minorHAnsi" w:hAnsi="Arial Narrow" w:cs="Calibri"/>
          <w:sz w:val="24"/>
          <w:szCs w:val="24"/>
          <w:lang w:eastAsia="en-US"/>
        </w:rPr>
        <w:t xml:space="preserve">pohyblivá teleskopická nastaviteľná opierka </w:t>
      </w:r>
    </w:p>
    <w:p w14:paraId="0EC1EE09" w14:textId="77777777" w:rsidR="0034615E" w:rsidRPr="003A0189" w:rsidRDefault="0034615E" w:rsidP="0034615E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sz w:val="24"/>
          <w:szCs w:val="24"/>
          <w:lang w:eastAsia="en-US"/>
        </w:rPr>
      </w:pPr>
      <w:r w:rsidRPr="003A0189">
        <w:rPr>
          <w:rFonts w:ascii="Arial Narrow" w:eastAsiaTheme="minorHAnsi" w:hAnsi="Arial Narrow" w:cs="Calibri"/>
          <w:sz w:val="24"/>
          <w:szCs w:val="24"/>
          <w:lang w:eastAsia="en-US"/>
        </w:rPr>
        <w:t xml:space="preserve">nastaviteľná lícnica </w:t>
      </w:r>
    </w:p>
    <w:p w14:paraId="40D5848B" w14:textId="77777777" w:rsidR="0034615E" w:rsidRPr="003A0189" w:rsidRDefault="0034615E" w:rsidP="0034615E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sz w:val="24"/>
          <w:szCs w:val="24"/>
          <w:lang w:eastAsia="en-US"/>
        </w:rPr>
      </w:pPr>
      <w:r w:rsidRPr="003A0189">
        <w:rPr>
          <w:rFonts w:ascii="Arial Narrow" w:eastAsiaTheme="minorHAnsi" w:hAnsi="Arial Narrow" w:cs="Calibri"/>
          <w:sz w:val="24"/>
          <w:szCs w:val="24"/>
          <w:lang w:eastAsia="en-US"/>
        </w:rPr>
        <w:t xml:space="preserve">obojstranná poistka </w:t>
      </w:r>
    </w:p>
    <w:p w14:paraId="5A4AA7F4" w14:textId="77777777" w:rsidR="0034615E" w:rsidRPr="003A0189" w:rsidRDefault="0034615E" w:rsidP="0034615E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gumové krytky na MIL-STD-1913 (STANAG 4694)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rail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</w:t>
      </w:r>
    </w:p>
    <w:p w14:paraId="7D1A2536" w14:textId="77777777" w:rsidR="0034615E" w:rsidRPr="003A0189" w:rsidRDefault="0034615E" w:rsidP="0034615E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zachytávač nábojníc </w:t>
      </w:r>
    </w:p>
    <w:p w14:paraId="6F128632" w14:textId="77777777" w:rsidR="0034615E" w:rsidRPr="003A0189" w:rsidRDefault="0034615E" w:rsidP="0034615E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úchyty popruhu </w:t>
      </w:r>
    </w:p>
    <w:p w14:paraId="34B3167D" w14:textId="77777777" w:rsidR="0034615E" w:rsidRPr="003A0189" w:rsidRDefault="0034615E" w:rsidP="0034615E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popruh </w:t>
      </w:r>
    </w:p>
    <w:p w14:paraId="557289A8" w14:textId="77777777" w:rsidR="0034615E" w:rsidRPr="003A0189" w:rsidRDefault="0034615E" w:rsidP="0034615E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čistiaca súprava </w:t>
      </w:r>
    </w:p>
    <w:p w14:paraId="2617E07A" w14:textId="77777777" w:rsidR="0034615E" w:rsidRPr="003A0189" w:rsidRDefault="0034615E" w:rsidP="0034615E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tlmič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výšľahu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plameňa s kompatibilný tlmičom hluku výstrelu </w:t>
      </w:r>
    </w:p>
    <w:p w14:paraId="7D0B781E" w14:textId="77777777" w:rsidR="0034615E" w:rsidRPr="003A0189" w:rsidRDefault="0034615E" w:rsidP="0034615E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tlmič hluku výstrelu s možnosťou uchytenia na tlmič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výšľahu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plameňa bez použitia nástrojov: priemer do 40 mm, dĺžka do 200 mm, váha do 650 mm, účinnosť nad 30 dB </w:t>
      </w:r>
    </w:p>
    <w:p w14:paraId="3C0C01E6" w14:textId="77777777" w:rsidR="0034615E" w:rsidRPr="003A0189" w:rsidRDefault="0034615E" w:rsidP="0034615E">
      <w:pPr>
        <w:numPr>
          <w:ilvl w:val="0"/>
          <w:numId w:val="37"/>
        </w:numPr>
        <w:overflowPunct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obal na elimináciu sálajúceho tepla z tlmiča hluku výstrelu </w:t>
      </w:r>
    </w:p>
    <w:p w14:paraId="33B196B8" w14:textId="77777777" w:rsidR="0034615E" w:rsidRPr="003A0189" w:rsidRDefault="0034615E" w:rsidP="0034615E">
      <w:pPr>
        <w:numPr>
          <w:ilvl w:val="0"/>
          <w:numId w:val="37"/>
        </w:numPr>
        <w:overflowPunct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</w:t>
      </w:r>
    </w:p>
    <w:p w14:paraId="3EEFD33B" w14:textId="77777777" w:rsidR="0034615E" w:rsidRPr="003A0189" w:rsidRDefault="0034615E" w:rsidP="0034615E">
      <w:pPr>
        <w:pageBreakBefore/>
        <w:overflowPunct/>
        <w:textAlignment w:val="auto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18755BA" w14:textId="77777777" w:rsidR="0034615E" w:rsidRPr="003A0189" w:rsidRDefault="0034615E" w:rsidP="0034615E">
      <w:pPr>
        <w:overflowPunct/>
        <w:textAlignment w:val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FF08B80" w14:textId="77777777" w:rsidR="0034615E" w:rsidRPr="003A0189" w:rsidRDefault="0034615E" w:rsidP="0034615E">
      <w:pPr>
        <w:overflowPunct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Výrobca nami ponúkaného tovaru ponúka výrobok s mimoriadne prepracovaným a ergonomicky upraveným predpažbím. Toto má ale za následok mierne zvýšenie hmotnosti zbrane. </w:t>
      </w:r>
    </w:p>
    <w:p w14:paraId="1A24798E" w14:textId="77777777" w:rsidR="0034615E" w:rsidRDefault="0034615E" w:rsidP="0034615E">
      <w:pPr>
        <w:overflowPunct/>
        <w:textAlignment w:val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Preto si dovoľujeme navrhnúť zmenu technickej špecifikácie v tomto bode na maximálnu váhu zbrane bez zásobníka a príslušenstva do 3,73 kg.</w:t>
      </w:r>
      <w:r w:rsidRPr="003A0189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5EE08462" w14:textId="77777777" w:rsidR="00D63976" w:rsidRPr="00D63976" w:rsidRDefault="00D63976" w:rsidP="00D63976">
      <w:pPr>
        <w:numPr>
          <w:ilvl w:val="0"/>
          <w:numId w:val="36"/>
        </w:numPr>
        <w:overflowPunct/>
        <w:textAlignment w:val="auto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40C1C380" w14:textId="538A13CB" w:rsidR="002E0901" w:rsidRPr="00834E64" w:rsidRDefault="002E0901" w:rsidP="002E0901">
      <w:pPr>
        <w:pStyle w:val="Odsekzoznamu"/>
        <w:widowControl w:val="0"/>
        <w:numPr>
          <w:ilvl w:val="0"/>
          <w:numId w:val="33"/>
        </w:numPr>
        <w:tabs>
          <w:tab w:val="left" w:pos="500"/>
        </w:tabs>
        <w:overflowPunct/>
        <w:adjustRightInd/>
        <w:spacing w:before="93"/>
        <w:ind w:left="499" w:hanging="290"/>
        <w:contextualSpacing w:val="0"/>
        <w:jc w:val="left"/>
        <w:textAlignment w:val="auto"/>
        <w:rPr>
          <w:rFonts w:ascii="Arial Narrow" w:hAnsi="Arial Narrow"/>
          <w:b/>
          <w:color w:val="494D4B"/>
          <w:sz w:val="22"/>
          <w:szCs w:val="22"/>
        </w:rPr>
      </w:pPr>
      <w:r w:rsidRPr="002E0901">
        <w:rPr>
          <w:rFonts w:ascii="Arial Narrow" w:hAnsi="Arial Narrow"/>
          <w:b/>
          <w:color w:val="494D4B"/>
          <w:w w:val="105"/>
          <w:sz w:val="22"/>
          <w:szCs w:val="22"/>
        </w:rPr>
        <w:t>Návrh žiadateľa na vybavenie žiadosti o</w:t>
      </w:r>
      <w:r w:rsidR="00834E64">
        <w:rPr>
          <w:rFonts w:ascii="Arial Narrow" w:hAnsi="Arial Narrow"/>
          <w:b/>
          <w:color w:val="494D4B"/>
          <w:spacing w:val="20"/>
          <w:w w:val="105"/>
          <w:sz w:val="22"/>
          <w:szCs w:val="22"/>
        </w:rPr>
        <w:t> </w:t>
      </w:r>
      <w:r w:rsidRPr="002E0901">
        <w:rPr>
          <w:rFonts w:ascii="Arial Narrow" w:hAnsi="Arial Narrow"/>
          <w:b/>
          <w:color w:val="494D4B"/>
          <w:w w:val="105"/>
          <w:sz w:val="22"/>
          <w:szCs w:val="22"/>
        </w:rPr>
        <w:t>nápravu</w:t>
      </w:r>
    </w:p>
    <w:p w14:paraId="595D5F28" w14:textId="77777777" w:rsidR="0034615E" w:rsidRPr="003A0189" w:rsidRDefault="0034615E" w:rsidP="0034615E">
      <w:pPr>
        <w:overflowPunct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Na základe vyššie uvedeného navrhujeme nasledovné znenie časti textu 4.1 Podporná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ostreľovacia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puška s príslušenstvom: </w:t>
      </w:r>
    </w:p>
    <w:p w14:paraId="6E187345" w14:textId="77777777" w:rsidR="0034615E" w:rsidRPr="003A0189" w:rsidRDefault="0034615E" w:rsidP="0034615E">
      <w:pPr>
        <w:overflowPunct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 xml:space="preserve">4.1. Podporná </w:t>
      </w:r>
      <w:proofErr w:type="spellStart"/>
      <w:r w:rsidRPr="003A0189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>ostreľovacia</w:t>
      </w:r>
      <w:proofErr w:type="spellEnd"/>
      <w:r w:rsidRPr="003A0189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 xml:space="preserve"> puška s príslušenstvom 5 ks </w:t>
      </w:r>
    </w:p>
    <w:p w14:paraId="3B0B13EE" w14:textId="77777777" w:rsidR="0034615E" w:rsidRPr="003A0189" w:rsidRDefault="0034615E" w:rsidP="0034615E">
      <w:pPr>
        <w:numPr>
          <w:ilvl w:val="0"/>
          <w:numId w:val="38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modulárna automatická zbraň </w:t>
      </w:r>
    </w:p>
    <w:p w14:paraId="330860A9" w14:textId="77777777" w:rsidR="0034615E" w:rsidRPr="003A0189" w:rsidRDefault="0034615E" w:rsidP="0034615E">
      <w:pPr>
        <w:numPr>
          <w:ilvl w:val="0"/>
          <w:numId w:val="38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strieľajúca z uzamknutého záveru s preraďovačom režimu streľby </w:t>
      </w:r>
    </w:p>
    <w:p w14:paraId="63710D02" w14:textId="77777777" w:rsidR="0034615E" w:rsidRPr="003A0189" w:rsidRDefault="0034615E" w:rsidP="0034615E">
      <w:pPr>
        <w:numPr>
          <w:ilvl w:val="0"/>
          <w:numId w:val="38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kaliber 5.56x45 NATO (.223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Rem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) </w:t>
      </w:r>
    </w:p>
    <w:p w14:paraId="030CE8DC" w14:textId="77777777" w:rsidR="0034615E" w:rsidRPr="003A0189" w:rsidRDefault="0034615E" w:rsidP="0034615E">
      <w:pPr>
        <w:numPr>
          <w:ilvl w:val="0"/>
          <w:numId w:val="38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Pohon automatický - založený na princípe odberu časti prachových plynov z vývrtu hlavne prostredníctvom piestu, s minimálnymi nárokmi na údržbu, s automatickou reguláciou, tzn., že obsluha zbrane v rozsahu predpokladaných prevádzkových podmienok nasadenia nemusí pohon automaticky akokoľvek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prenastavovať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, pripúšťa sa akurát zmena pozície regulátora pri aplikácii tlmiča hluku výstrelu. V takom prípade musí byť regulátor plynu pre obsluhu zbrane ľahko prístupný a ovládateľný bez náradia a to aj prípade, že je zbraň rozpálená streľbou. Regulátor nesmie byť v žiadnej konfigurácii (s nasadeným tlmičom hluku výstrelu alebo bez tlmiča) zdrojom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demaskujúcích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svetelných zábleskov </w:t>
      </w:r>
    </w:p>
    <w:p w14:paraId="214DFF50" w14:textId="77777777" w:rsidR="0034615E" w:rsidRPr="003A0189" w:rsidRDefault="0034615E" w:rsidP="0034615E">
      <w:pPr>
        <w:numPr>
          <w:ilvl w:val="0"/>
          <w:numId w:val="38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materiál úchopových častí mrazuvzdorný a nárazu vzdorný polymér, alebo iný vysoko odolný materiál, ochrana strelca pred zranením pohyblivými dielmi a popálením </w:t>
      </w:r>
    </w:p>
    <w:p w14:paraId="48486D2A" w14:textId="77777777" w:rsidR="0034615E" w:rsidRPr="003A0189" w:rsidRDefault="0034615E" w:rsidP="0034615E">
      <w:pPr>
        <w:numPr>
          <w:ilvl w:val="0"/>
          <w:numId w:val="38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hlaveň - vysoká odolnosť vývrtu proti oteru a korózii (tvrdé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chromovanie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), ľahké čistenie, ústie so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štandartizovaným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závitom 1⁄2×28 TPI (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Threads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Per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Inch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), pre zaistenie maximálnej kompatibility s na trhu dostupným príslušenstvom k puškám kalibru 5,56x45 (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plynodynamické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nástavce), dostatočne chránené proti poškodeniu </w:t>
      </w:r>
    </w:p>
    <w:p w14:paraId="1D90D195" w14:textId="77777777" w:rsidR="0034615E" w:rsidRPr="003A0189" w:rsidRDefault="0034615E" w:rsidP="0034615E">
      <w:pPr>
        <w:numPr>
          <w:ilvl w:val="0"/>
          <w:numId w:val="38"/>
        </w:numPr>
        <w:overflowPunct/>
        <w:spacing w:after="17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lišty pre uchytenie príslušenstva - kovové, dostatočne odolné, zaisťujúce ľahkú, rýchlu a opakovateľnú montáž zameriavačov (zachovanie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rektifikácie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) a ďalšieho príslušenstva, dolný a horný </w:t>
      </w:r>
      <w:proofErr w:type="spellStart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rail</w:t>
      </w:r>
      <w:proofErr w:type="spellEnd"/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na puzdre záveru a na predpažbí (6 a 12 hod.), v špecifikácii MIL-STD-1913 (STANAG 4694) </w:t>
      </w:r>
    </w:p>
    <w:p w14:paraId="57C4F521" w14:textId="77777777" w:rsidR="0034615E" w:rsidRPr="003A0189" w:rsidRDefault="0034615E" w:rsidP="0034615E">
      <w:pPr>
        <w:numPr>
          <w:ilvl w:val="0"/>
          <w:numId w:val="38"/>
        </w:numPr>
        <w:overflowPunct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horná lišta MIL-STD-1913 (STANAG 4694) (na 12 hod.) - na puzdre záveru musí plynule nadväzovať na hornú lištu MIL-STD-1913 (STANAG 4694) na predpažbí, minimálna požadovaná súhrnná dĺžka tejto spojenej lišty MIL-STD-1913 (STANAG 4694) musí s rezervou vytvoriť </w:t>
      </w:r>
    </w:p>
    <w:p w14:paraId="39FCCF13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zameriavacích systémov a ich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konfigurácíu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(zameriavače, modulové predsádky), so správnymi rozostupmi a v správnej polohe pre riadne užívanie a ovládanie </w:t>
      </w:r>
    </w:p>
    <w:p w14:paraId="32A0EECF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dolná lišta MIL-STD-1913 (STANAG 4694), alebo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Key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Mod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systém, M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Lock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systém, alebo obdobný systém (na 6 hod.) - musí s rezervou umožniť riadne uchytenie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dvojnožky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</w:t>
      </w:r>
    </w:p>
    <w:p w14:paraId="62F64C0C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bočné stany na 3. a 9. hod -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Key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Mod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systém, M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Lock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systém, alebo obdobný systém </w:t>
      </w:r>
    </w:p>
    <w:p w14:paraId="1DD041D3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jednodielna montáž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puškohľadu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z duralovej zliatiny na lištu MIL-STD-1913 (STANAG 4694) </w:t>
      </w:r>
    </w:p>
    <w:p w14:paraId="597A10D8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dĺžka zbrane: od 790 mm do 950 mm </w:t>
      </w:r>
    </w:p>
    <w:p w14:paraId="3AE51C77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dĺžka hlavne od 350 do 381 mm </w:t>
      </w:r>
    </w:p>
    <w:p w14:paraId="0281CD96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b/>
          <w:bCs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b/>
          <w:bCs/>
          <w:sz w:val="22"/>
          <w:szCs w:val="22"/>
          <w:lang w:eastAsia="en-US"/>
        </w:rPr>
        <w:t xml:space="preserve">max. váha zbrane bez zásobníka a príslušenstva do 3,73 kg </w:t>
      </w:r>
    </w:p>
    <w:p w14:paraId="48B8AA7D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stúpanie vývrtu 1:7 </w:t>
      </w:r>
    </w:p>
    <w:p w14:paraId="6F7163B0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životnosť zbrane ako celku: viac ako 20.000 výstrelov </w:t>
      </w:r>
    </w:p>
    <w:p w14:paraId="6C0A4574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životnosť hlavne: viac ako 15.000 výstrelov </w:t>
      </w:r>
    </w:p>
    <w:p w14:paraId="61177058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funkčná spoľahlivosť v bežných podmienkach: menej ako 0,2% </w:t>
      </w:r>
    </w:p>
    <w:p w14:paraId="5B3DCDE3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schránkové zásobníky nabíjané zdola </w:t>
      </w:r>
    </w:p>
    <w:p w14:paraId="6D106936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zásobníková kompatibilita (STANAG-DRAFT 4179) </w:t>
      </w:r>
    </w:p>
    <w:p w14:paraId="29A11E1A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počet a kapacita zásobníkov: 4 ks na 10 nábojov, 4 ks na 20 nábojov, 4 ks na 30 nábojov </w:t>
      </w:r>
    </w:p>
    <w:p w14:paraId="250C8B10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materiál zásobníkov: oceľ </w:t>
      </w:r>
    </w:p>
    <w:p w14:paraId="6D3FA074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režim streľby: poloautomatický a automatický </w:t>
      </w:r>
    </w:p>
    <w:p w14:paraId="3CFB7275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lastRenderedPageBreak/>
        <w:t xml:space="preserve">rozptyl zbrane: do 2 MOA </w:t>
      </w:r>
    </w:p>
    <w:p w14:paraId="1562D723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pohyblivá teleskopická nastaviteľná opierka </w:t>
      </w:r>
    </w:p>
    <w:p w14:paraId="0BE40B05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nastaviteľná lícnica </w:t>
      </w:r>
    </w:p>
    <w:p w14:paraId="46878639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obojstranná poistka </w:t>
      </w:r>
    </w:p>
    <w:p w14:paraId="58351684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gumové krytky na MIL-STD-1913 (STANAG 4694)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rail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</w:t>
      </w:r>
    </w:p>
    <w:p w14:paraId="07ADAFAE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zachytávač nábojníc </w:t>
      </w:r>
    </w:p>
    <w:p w14:paraId="2D396501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úchyty popruhu </w:t>
      </w:r>
    </w:p>
    <w:p w14:paraId="0DE49316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popruh </w:t>
      </w:r>
    </w:p>
    <w:p w14:paraId="14EB5D8E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čistiaca súprava </w:t>
      </w:r>
    </w:p>
    <w:p w14:paraId="2470CAA8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tlmič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výšľahu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plameňa s kompatibilný tlmičom hluku výstrelu </w:t>
      </w:r>
    </w:p>
    <w:p w14:paraId="161B601B" w14:textId="77777777" w:rsidR="0034615E" w:rsidRPr="003A0189" w:rsidRDefault="0034615E" w:rsidP="0034615E">
      <w:pPr>
        <w:numPr>
          <w:ilvl w:val="0"/>
          <w:numId w:val="38"/>
        </w:numPr>
        <w:overflowPunct/>
        <w:spacing w:after="18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tlmič hluku výstrelu s možnosťou uchytenia na tlmič </w:t>
      </w:r>
      <w:proofErr w:type="spellStart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>výšľahu</w:t>
      </w:r>
      <w:proofErr w:type="spellEnd"/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plameňa bez použitia nástrojov: priemer do 40 mm, dĺžka do 200 mm, váha do 650 mm, účinnosť nad 30 dB </w:t>
      </w:r>
    </w:p>
    <w:p w14:paraId="3342B3D1" w14:textId="77777777" w:rsidR="0034615E" w:rsidRPr="003A0189" w:rsidRDefault="0034615E" w:rsidP="0034615E">
      <w:pPr>
        <w:numPr>
          <w:ilvl w:val="0"/>
          <w:numId w:val="38"/>
        </w:numPr>
        <w:overflowPunct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3A0189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obal na elimináciu sálajúceho tepla z tlmiča hluku výstrelu </w:t>
      </w:r>
    </w:p>
    <w:p w14:paraId="17AFB362" w14:textId="77777777" w:rsidR="002E0901" w:rsidRPr="003F6AB8" w:rsidRDefault="002E0901" w:rsidP="00F2268B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0B4DE419" w14:textId="77777777" w:rsidR="00A65FE4" w:rsidRPr="000D7782" w:rsidRDefault="00A65FE4" w:rsidP="00A65FE4">
      <w:pPr>
        <w:pStyle w:val="footnotedescription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2"/>
        </w:rPr>
        <w:t>Vyjadrenie verejného obstarávateľa k žiadosti o nápravu</w:t>
      </w:r>
      <w:r w:rsidRPr="00DC527F">
        <w:rPr>
          <w:rFonts w:ascii="Arial Narrow" w:hAnsi="Arial Narrow"/>
          <w:b/>
          <w:sz w:val="22"/>
        </w:rPr>
        <w:t>:</w:t>
      </w:r>
    </w:p>
    <w:p w14:paraId="46343F84" w14:textId="77777777" w:rsidR="00A65FE4" w:rsidRDefault="00A65FE4" w:rsidP="00A65FE4">
      <w:pPr>
        <w:pStyle w:val="footnotedescription"/>
        <w:ind w:left="0"/>
        <w:rPr>
          <w:rFonts w:ascii="Arial Narrow" w:hAnsi="Arial Narrow"/>
          <w:sz w:val="22"/>
        </w:rPr>
      </w:pPr>
      <w:r w:rsidRPr="0045540A">
        <w:rPr>
          <w:rFonts w:ascii="Arial Narrow" w:hAnsi="Arial Narrow"/>
          <w:sz w:val="22"/>
        </w:rPr>
        <w:t>Verejný obstarávateľ vyhovuje žiadateľovi podľa § 165 ods. 3 písm. a) zákona.</w:t>
      </w:r>
    </w:p>
    <w:p w14:paraId="5D7579C7" w14:textId="77777777" w:rsidR="00A65FE4" w:rsidRPr="00603E13" w:rsidRDefault="00A65FE4" w:rsidP="00A65FE4"/>
    <w:p w14:paraId="6E3D79ED" w14:textId="77777777" w:rsidR="00A65FE4" w:rsidRPr="009B415C" w:rsidRDefault="00A65FE4" w:rsidP="00A65FE4">
      <w:pPr>
        <w:tabs>
          <w:tab w:val="left" w:pos="567"/>
        </w:tabs>
        <w:jc w:val="both"/>
        <w:rPr>
          <w:rFonts w:ascii="Arial Narrow" w:hAnsi="Arial Narrow"/>
          <w:b/>
          <w:sz w:val="22"/>
          <w:szCs w:val="22"/>
        </w:rPr>
      </w:pPr>
      <w:r w:rsidRPr="009B415C">
        <w:rPr>
          <w:rFonts w:ascii="Arial Narrow" w:hAnsi="Arial Narrow"/>
          <w:b/>
          <w:sz w:val="22"/>
          <w:szCs w:val="22"/>
        </w:rPr>
        <w:t>Odôvodnenie, spôsob vybavenia a lehota na vykonanie nápravy</w:t>
      </w:r>
    </w:p>
    <w:p w14:paraId="0A50D009" w14:textId="53A55C5D" w:rsidR="0034615E" w:rsidRPr="0034615E" w:rsidRDefault="00082A08" w:rsidP="007E43A5">
      <w:pPr>
        <w:overflowPunct/>
        <w:spacing w:after="18"/>
        <w:textAlignment w:val="auto"/>
        <w:rPr>
          <w:rFonts w:ascii="Arial Narrow" w:eastAsiaTheme="minorHAnsi" w:hAnsi="Arial Narrow" w:cs="Calibri"/>
          <w:b/>
          <w:bCs/>
          <w:sz w:val="22"/>
          <w:szCs w:val="22"/>
          <w:lang w:eastAsia="en-US"/>
        </w:rPr>
      </w:pPr>
      <w:r w:rsidRPr="001C700D">
        <w:rPr>
          <w:rFonts w:ascii="Arial Narrow" w:hAnsi="Arial Narrow"/>
          <w:color w:val="000000"/>
          <w:sz w:val="22"/>
          <w:szCs w:val="22"/>
        </w:rPr>
        <w:t xml:space="preserve">Verejný obstarávateľ </w:t>
      </w:r>
      <w:r w:rsidR="0034615E">
        <w:rPr>
          <w:rFonts w:ascii="Arial Narrow" w:hAnsi="Arial Narrow"/>
          <w:color w:val="000000"/>
          <w:sz w:val="22"/>
          <w:szCs w:val="22"/>
        </w:rPr>
        <w:t>upravuje parameter:</w:t>
      </w:r>
    </w:p>
    <w:p w14:paraId="1A7745CF" w14:textId="78319B81" w:rsidR="0034615E" w:rsidRPr="003A0189" w:rsidRDefault="0034615E" w:rsidP="007E43A5">
      <w:pPr>
        <w:overflowPunct/>
        <w:spacing w:after="18"/>
        <w:textAlignment w:val="auto"/>
        <w:rPr>
          <w:rFonts w:ascii="Arial Narrow" w:eastAsiaTheme="minorHAnsi" w:hAnsi="Arial Narrow" w:cs="Calibri"/>
          <w:b/>
          <w:bCs/>
          <w:sz w:val="22"/>
          <w:szCs w:val="22"/>
          <w:lang w:eastAsia="en-US"/>
        </w:rPr>
      </w:pPr>
      <w:bookmarkStart w:id="2" w:name="_GoBack"/>
      <w:bookmarkEnd w:id="2"/>
      <w:r w:rsidRPr="003A0189">
        <w:rPr>
          <w:rFonts w:ascii="Arial Narrow" w:eastAsiaTheme="minorHAnsi" w:hAnsi="Arial Narrow" w:cs="Calibri"/>
          <w:b/>
          <w:bCs/>
          <w:sz w:val="22"/>
          <w:szCs w:val="22"/>
          <w:lang w:eastAsia="en-US"/>
        </w:rPr>
        <w:t>max. váha zbrane bez zásobníka a príslušenstva do 3,73 kg</w:t>
      </w:r>
      <w:r>
        <w:rPr>
          <w:rFonts w:ascii="Arial Narrow" w:eastAsiaTheme="minorHAnsi" w:hAnsi="Arial Narrow" w:cs="Calibri"/>
          <w:b/>
          <w:bCs/>
          <w:sz w:val="22"/>
          <w:szCs w:val="22"/>
          <w:lang w:eastAsia="en-US"/>
        </w:rPr>
        <w:t>.</w:t>
      </w:r>
      <w:r w:rsidRPr="003A0189">
        <w:rPr>
          <w:rFonts w:ascii="Arial Narrow" w:eastAsiaTheme="minorHAnsi" w:hAnsi="Arial Narrow" w:cs="Calibri"/>
          <w:b/>
          <w:bCs/>
          <w:sz w:val="22"/>
          <w:szCs w:val="22"/>
          <w:lang w:eastAsia="en-US"/>
        </w:rPr>
        <w:t xml:space="preserve"> </w:t>
      </w:r>
    </w:p>
    <w:p w14:paraId="2251E18E" w14:textId="0F5BAA8F" w:rsidR="00D06A75" w:rsidRDefault="006C79F7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Uvedenú zmenu verejný obstarávateľ uverejňuje v systéme </w:t>
      </w:r>
      <w:proofErr w:type="spellStart"/>
      <w:r>
        <w:rPr>
          <w:rFonts w:ascii="Arial Narrow" w:hAnsi="Arial Narrow"/>
          <w:sz w:val="22"/>
          <w:szCs w:val="22"/>
        </w:rPr>
        <w:t>Josephine</w:t>
      </w:r>
      <w:proofErr w:type="spellEnd"/>
      <w:r w:rsidR="00082A08">
        <w:rPr>
          <w:rFonts w:ascii="Arial Narrow" w:hAnsi="Arial Narrow"/>
          <w:sz w:val="22"/>
          <w:szCs w:val="22"/>
        </w:rPr>
        <w:t xml:space="preserve">. </w:t>
      </w:r>
      <w:r w:rsidR="00F430C1" w:rsidRPr="003F6AB8">
        <w:rPr>
          <w:rFonts w:ascii="Arial Narrow" w:hAnsi="Arial Narrow"/>
          <w:sz w:val="22"/>
          <w:szCs w:val="22"/>
        </w:rPr>
        <w:t xml:space="preserve"> </w:t>
      </w:r>
    </w:p>
    <w:p w14:paraId="3A46D0F0" w14:textId="77777777" w:rsidR="00D06A75" w:rsidRDefault="00D06A75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49CA648C" w14:textId="77777777" w:rsidR="00874C52" w:rsidRPr="003F6AB8" w:rsidRDefault="00874C52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>S</w:t>
      </w:r>
      <w:r w:rsidR="00F430C1" w:rsidRPr="003F6AB8">
        <w:rPr>
          <w:rFonts w:ascii="Arial Narrow" w:hAnsi="Arial Narrow"/>
          <w:sz w:val="22"/>
          <w:szCs w:val="22"/>
        </w:rPr>
        <w:t xml:space="preserve"> úctou</w:t>
      </w:r>
    </w:p>
    <w:p w14:paraId="74803522" w14:textId="77777777" w:rsidR="00874C52" w:rsidRPr="003F6AB8" w:rsidRDefault="00874C52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7583573A" w14:textId="77777777" w:rsidR="00F430C1" w:rsidRDefault="00F430C1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4AB65244" w14:textId="77777777" w:rsidR="00D06A75" w:rsidRDefault="00D06A75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4F7EE0D4" w14:textId="77777777" w:rsidR="00D06A75" w:rsidRPr="003F6AB8" w:rsidRDefault="00D06A75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518414F5" w14:textId="77777777" w:rsidR="00874C52" w:rsidRPr="003F6AB8" w:rsidRDefault="00874C52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ab/>
      </w:r>
    </w:p>
    <w:p w14:paraId="5324E314" w14:textId="77777777" w:rsidR="00874C52" w:rsidRPr="003F6AB8" w:rsidRDefault="000B4D85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 xml:space="preserve">   </w:t>
      </w:r>
      <w:r w:rsidR="00874C52" w:rsidRPr="003F6AB8">
        <w:rPr>
          <w:rFonts w:ascii="Arial Narrow" w:hAnsi="Arial Narrow"/>
          <w:sz w:val="22"/>
          <w:szCs w:val="22"/>
        </w:rPr>
        <w:t xml:space="preserve">            </w:t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874C52" w:rsidRPr="003F6AB8">
        <w:rPr>
          <w:rFonts w:ascii="Arial Narrow" w:hAnsi="Arial Narrow"/>
          <w:sz w:val="22"/>
          <w:szCs w:val="22"/>
        </w:rPr>
        <w:t xml:space="preserve">  Mgr. Ľubomír Kubička</w:t>
      </w:r>
    </w:p>
    <w:p w14:paraId="49285B92" w14:textId="77777777" w:rsidR="00122BAB" w:rsidRPr="003F6AB8" w:rsidRDefault="00F430C1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  <w:t xml:space="preserve">      </w:t>
      </w:r>
      <w:r w:rsidR="00874C52" w:rsidRPr="003F6AB8">
        <w:rPr>
          <w:rFonts w:ascii="Arial Narrow" w:hAnsi="Arial Narrow"/>
          <w:sz w:val="22"/>
          <w:szCs w:val="22"/>
        </w:rPr>
        <w:t>riaditeľ odboru verejného obstarávania</w:t>
      </w:r>
    </w:p>
    <w:p w14:paraId="2C4DB9B2" w14:textId="77777777" w:rsidR="00122BAB" w:rsidRPr="003F6AB8" w:rsidRDefault="00122BAB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3CD9AA58" w14:textId="77777777" w:rsidR="00122BAB" w:rsidRPr="003F6AB8" w:rsidRDefault="00122BAB" w:rsidP="00B44AE9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568D328" w14:textId="77777777" w:rsidR="00122BAB" w:rsidRPr="003F6AB8" w:rsidRDefault="00122BAB" w:rsidP="00B44AE9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1794933" w14:textId="77777777" w:rsidR="00122BAB" w:rsidRPr="003F6AB8" w:rsidRDefault="00122BAB" w:rsidP="00B44AE9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4F9EEB0" w14:textId="77777777" w:rsidR="00122BAB" w:rsidRPr="003F6AB8" w:rsidRDefault="00122BAB" w:rsidP="00B44AE9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sectPr w:rsidR="00122BAB" w:rsidRPr="003F6AB8" w:rsidSect="00C079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991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DF8D9" w14:textId="77777777" w:rsidR="006035C1" w:rsidRDefault="006035C1" w:rsidP="000D18D0">
      <w:r>
        <w:separator/>
      </w:r>
    </w:p>
  </w:endnote>
  <w:endnote w:type="continuationSeparator" w:id="0">
    <w:p w14:paraId="79960769" w14:textId="77777777" w:rsidR="006035C1" w:rsidRDefault="006035C1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14:paraId="65323AA1" w14:textId="77777777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29A7794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2AEA551D" w14:textId="3060095F"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</w:t>
          </w:r>
          <w:r w:rsidR="00783215">
            <w:rPr>
              <w:sz w:val="16"/>
              <w:szCs w:val="16"/>
            </w:rPr>
            <w:t>5</w:t>
          </w:r>
          <w:r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AD0062F" w14:textId="77777777"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198A3250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</w:p>
        <w:p w14:paraId="65B8D6A4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F0F3887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05F882EA" w14:textId="77ECB633" w:rsidR="00AE7087" w:rsidRDefault="007E43A5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783215" w:rsidRPr="00290442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14:paraId="29C305D4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9C3600C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17487185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137C7E4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63FC6818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5300317E" w14:textId="77777777"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14:paraId="387CFF23" w14:textId="77777777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167E502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39C9759D" w14:textId="479F6073"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F55B08">
            <w:rPr>
              <w:sz w:val="16"/>
              <w:szCs w:val="16"/>
            </w:rPr>
            <w:t>5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0B1D37E" w14:textId="77777777"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410B38E1" w14:textId="77777777"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</w:p>
        <w:p w14:paraId="6691DABE" w14:textId="77777777"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4818983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78851BF0" w14:textId="0CDBF358" w:rsidR="00206C7F" w:rsidRDefault="007E43A5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F55B08" w:rsidRPr="003503AE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14:paraId="258DAC9E" w14:textId="77777777"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723E890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479DBADF" w14:textId="77777777" w:rsidR="00206C7F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916DFB2" w14:textId="77777777"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4D906B9B" w14:textId="77777777"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2E54B5C9" w14:textId="77777777"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6A284" w14:textId="77777777" w:rsidR="006035C1" w:rsidRDefault="006035C1" w:rsidP="000D18D0">
      <w:r>
        <w:separator/>
      </w:r>
    </w:p>
  </w:footnote>
  <w:footnote w:type="continuationSeparator" w:id="0">
    <w:p w14:paraId="21E4447A" w14:textId="77777777" w:rsidR="006035C1" w:rsidRDefault="006035C1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14:paraId="6BDBECFB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2D09CBCB" w14:textId="77777777"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14:paraId="1E3C992A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6F1F48E6" w14:textId="77777777"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14:paraId="68ECAFAF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15CCB29B" w14:textId="77777777"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14:paraId="5B1CC26F" w14:textId="77777777" w:rsidR="004C385E" w:rsidRPr="005241C4" w:rsidRDefault="004C385E" w:rsidP="004C385E">
    <w:pPr>
      <w:pStyle w:val="Hlavika"/>
      <w:rPr>
        <w:szCs w:val="2"/>
      </w:rPr>
    </w:pPr>
  </w:p>
  <w:p w14:paraId="795C11CF" w14:textId="77777777"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14:paraId="38AEB071" w14:textId="77777777" w:rsidTr="00D128A5">
      <w:trPr>
        <w:trHeight w:val="267"/>
      </w:trPr>
      <w:tc>
        <w:tcPr>
          <w:tcW w:w="4928" w:type="dxa"/>
          <w:shd w:val="clear" w:color="auto" w:fill="auto"/>
        </w:tcPr>
        <w:p w14:paraId="09116899" w14:textId="77777777" w:rsidR="003577D8" w:rsidRDefault="003577D8" w:rsidP="00BD57C0">
          <w:pPr>
            <w:ind w:right="113"/>
            <w:jc w:val="center"/>
          </w:pPr>
        </w:p>
        <w:p w14:paraId="7BE67DCF" w14:textId="77777777"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14:paraId="5475724C" w14:textId="77777777" w:rsidR="00BD57C0" w:rsidRPr="00823BFA" w:rsidRDefault="00C079A6" w:rsidP="00BD57C0">
          <w:pPr>
            <w:ind w:right="113"/>
            <w:jc w:val="center"/>
          </w:pPr>
          <w:r>
            <w:t xml:space="preserve">                 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14:paraId="2764900C" w14:textId="77777777" w:rsidTr="00D128A5">
      <w:trPr>
        <w:trHeight w:val="267"/>
      </w:trPr>
      <w:tc>
        <w:tcPr>
          <w:tcW w:w="4928" w:type="dxa"/>
          <w:shd w:val="clear" w:color="auto" w:fill="auto"/>
        </w:tcPr>
        <w:p w14:paraId="20B3A8EF" w14:textId="77777777"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14:paraId="57F6F12D" w14:textId="77777777"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3071B5C4" wp14:editId="1556DF39">
          <wp:extent cx="5943600" cy="716280"/>
          <wp:effectExtent l="0" t="0" r="0" b="762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F3CDD" w14:textId="77777777"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F55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AFFACB6"/>
    <w:multiLevelType w:val="hybridMultilevel"/>
    <w:tmpl w:val="363B48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394D20"/>
    <w:multiLevelType w:val="hybridMultilevel"/>
    <w:tmpl w:val="7180C244"/>
    <w:lvl w:ilvl="0" w:tplc="E31C6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A01F3"/>
    <w:multiLevelType w:val="multilevel"/>
    <w:tmpl w:val="FB82713A"/>
    <w:lvl w:ilvl="0">
      <w:start w:val="1"/>
      <w:numFmt w:val="lowerRoman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1A4A81"/>
    <w:multiLevelType w:val="hybridMultilevel"/>
    <w:tmpl w:val="14EABE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90F6D"/>
    <w:multiLevelType w:val="hybridMultilevel"/>
    <w:tmpl w:val="FF921AE4"/>
    <w:lvl w:ilvl="0" w:tplc="06703530">
      <w:start w:val="1"/>
      <w:numFmt w:val="lowerLetter"/>
      <w:lvlText w:val="%1)"/>
      <w:lvlJc w:val="left"/>
      <w:pPr>
        <w:ind w:left="395" w:hanging="286"/>
        <w:jc w:val="right"/>
      </w:pPr>
      <w:rPr>
        <w:rFonts w:hint="default"/>
        <w:b/>
        <w:bCs/>
        <w:spacing w:val="-1"/>
        <w:w w:val="98"/>
      </w:rPr>
    </w:lvl>
    <w:lvl w:ilvl="1" w:tplc="04E405DE">
      <w:start w:val="1"/>
      <w:numFmt w:val="decimal"/>
      <w:lvlText w:val="%2."/>
      <w:lvlJc w:val="left"/>
      <w:pPr>
        <w:ind w:left="838" w:hanging="364"/>
        <w:jc w:val="right"/>
      </w:pPr>
      <w:rPr>
        <w:rFonts w:hint="default"/>
        <w:b w:val="0"/>
        <w:bCs/>
        <w:w w:val="99"/>
      </w:rPr>
    </w:lvl>
    <w:lvl w:ilvl="2" w:tplc="AACE4438">
      <w:numFmt w:val="bullet"/>
      <w:lvlText w:val="•"/>
      <w:lvlJc w:val="left"/>
      <w:pPr>
        <w:ind w:left="920" w:hanging="364"/>
      </w:pPr>
      <w:rPr>
        <w:rFonts w:hint="default"/>
      </w:rPr>
    </w:lvl>
    <w:lvl w:ilvl="3" w:tplc="8D963D98">
      <w:numFmt w:val="bullet"/>
      <w:lvlText w:val="•"/>
      <w:lvlJc w:val="left"/>
      <w:pPr>
        <w:ind w:left="1934" w:hanging="364"/>
      </w:pPr>
      <w:rPr>
        <w:rFonts w:hint="default"/>
      </w:rPr>
    </w:lvl>
    <w:lvl w:ilvl="4" w:tplc="4B1261E6">
      <w:numFmt w:val="bullet"/>
      <w:lvlText w:val="•"/>
      <w:lvlJc w:val="left"/>
      <w:pPr>
        <w:ind w:left="2948" w:hanging="364"/>
      </w:pPr>
      <w:rPr>
        <w:rFonts w:hint="default"/>
      </w:rPr>
    </w:lvl>
    <w:lvl w:ilvl="5" w:tplc="4846F90C">
      <w:numFmt w:val="bullet"/>
      <w:lvlText w:val="•"/>
      <w:lvlJc w:val="left"/>
      <w:pPr>
        <w:ind w:left="3962" w:hanging="364"/>
      </w:pPr>
      <w:rPr>
        <w:rFonts w:hint="default"/>
      </w:rPr>
    </w:lvl>
    <w:lvl w:ilvl="6" w:tplc="CB9CB850">
      <w:numFmt w:val="bullet"/>
      <w:lvlText w:val="•"/>
      <w:lvlJc w:val="left"/>
      <w:pPr>
        <w:ind w:left="4976" w:hanging="364"/>
      </w:pPr>
      <w:rPr>
        <w:rFonts w:hint="default"/>
      </w:rPr>
    </w:lvl>
    <w:lvl w:ilvl="7" w:tplc="674AE30E">
      <w:numFmt w:val="bullet"/>
      <w:lvlText w:val="•"/>
      <w:lvlJc w:val="left"/>
      <w:pPr>
        <w:ind w:left="5991" w:hanging="364"/>
      </w:pPr>
      <w:rPr>
        <w:rFonts w:hint="default"/>
      </w:rPr>
    </w:lvl>
    <w:lvl w:ilvl="8" w:tplc="2C6213B4">
      <w:numFmt w:val="bullet"/>
      <w:lvlText w:val="•"/>
      <w:lvlJc w:val="left"/>
      <w:pPr>
        <w:ind w:left="7005" w:hanging="364"/>
      </w:pPr>
      <w:rPr>
        <w:rFonts w:hint="default"/>
      </w:rPr>
    </w:lvl>
  </w:abstractNum>
  <w:abstractNum w:abstractNumId="7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2EE6DF7"/>
    <w:multiLevelType w:val="hybridMultilevel"/>
    <w:tmpl w:val="C7708EF2"/>
    <w:lvl w:ilvl="0" w:tplc="74AC4DB0">
      <w:numFmt w:val="bullet"/>
      <w:lvlText w:val="■"/>
      <w:lvlJc w:val="left"/>
      <w:pPr>
        <w:ind w:left="933" w:hanging="352"/>
      </w:pPr>
      <w:rPr>
        <w:rFonts w:ascii="Arial" w:eastAsia="Arial" w:hAnsi="Arial" w:cs="Arial" w:hint="default"/>
        <w:color w:val="D46E79"/>
        <w:w w:val="99"/>
        <w:sz w:val="36"/>
        <w:szCs w:val="36"/>
      </w:rPr>
    </w:lvl>
    <w:lvl w:ilvl="1" w:tplc="EEE45FEA">
      <w:numFmt w:val="bullet"/>
      <w:lvlText w:val="■"/>
      <w:lvlJc w:val="left"/>
      <w:pPr>
        <w:ind w:left="1066" w:hanging="385"/>
      </w:pPr>
      <w:rPr>
        <w:rFonts w:hint="default"/>
        <w:w w:val="102"/>
      </w:rPr>
    </w:lvl>
    <w:lvl w:ilvl="2" w:tplc="EA4E5E58">
      <w:numFmt w:val="bullet"/>
      <w:lvlText w:val="•"/>
      <w:lvlJc w:val="left"/>
      <w:pPr>
        <w:ind w:left="1965" w:hanging="385"/>
      </w:pPr>
      <w:rPr>
        <w:rFonts w:hint="default"/>
      </w:rPr>
    </w:lvl>
    <w:lvl w:ilvl="3" w:tplc="CFDCE69E">
      <w:numFmt w:val="bullet"/>
      <w:lvlText w:val="•"/>
      <w:lvlJc w:val="left"/>
      <w:pPr>
        <w:ind w:left="2871" w:hanging="385"/>
      </w:pPr>
      <w:rPr>
        <w:rFonts w:hint="default"/>
      </w:rPr>
    </w:lvl>
    <w:lvl w:ilvl="4" w:tplc="EFC86B68">
      <w:numFmt w:val="bullet"/>
      <w:lvlText w:val="•"/>
      <w:lvlJc w:val="left"/>
      <w:pPr>
        <w:ind w:left="3777" w:hanging="385"/>
      </w:pPr>
      <w:rPr>
        <w:rFonts w:hint="default"/>
      </w:rPr>
    </w:lvl>
    <w:lvl w:ilvl="5" w:tplc="D11A4B30">
      <w:numFmt w:val="bullet"/>
      <w:lvlText w:val="•"/>
      <w:lvlJc w:val="left"/>
      <w:pPr>
        <w:ind w:left="4683" w:hanging="385"/>
      </w:pPr>
      <w:rPr>
        <w:rFonts w:hint="default"/>
      </w:rPr>
    </w:lvl>
    <w:lvl w:ilvl="6" w:tplc="E37EF87A">
      <w:numFmt w:val="bullet"/>
      <w:lvlText w:val="•"/>
      <w:lvlJc w:val="left"/>
      <w:pPr>
        <w:ind w:left="5589" w:hanging="385"/>
      </w:pPr>
      <w:rPr>
        <w:rFonts w:hint="default"/>
      </w:rPr>
    </w:lvl>
    <w:lvl w:ilvl="7" w:tplc="E4CE44B8">
      <w:numFmt w:val="bullet"/>
      <w:lvlText w:val="•"/>
      <w:lvlJc w:val="left"/>
      <w:pPr>
        <w:ind w:left="6495" w:hanging="385"/>
      </w:pPr>
      <w:rPr>
        <w:rFonts w:hint="default"/>
      </w:rPr>
    </w:lvl>
    <w:lvl w:ilvl="8" w:tplc="D432376A">
      <w:numFmt w:val="bullet"/>
      <w:lvlText w:val="•"/>
      <w:lvlJc w:val="left"/>
      <w:pPr>
        <w:ind w:left="7401" w:hanging="385"/>
      </w:pPr>
      <w:rPr>
        <w:rFonts w:hint="default"/>
      </w:rPr>
    </w:lvl>
  </w:abstractNum>
  <w:abstractNum w:abstractNumId="10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1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6215B"/>
    <w:multiLevelType w:val="multilevel"/>
    <w:tmpl w:val="A1444CDE"/>
    <w:lvl w:ilvl="0">
      <w:start w:val="5"/>
      <w:numFmt w:val="lowerRoman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4">
    <w:nsid w:val="2890697B"/>
    <w:multiLevelType w:val="multilevel"/>
    <w:tmpl w:val="E3CCCAE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6CF63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2507403"/>
    <w:multiLevelType w:val="multilevel"/>
    <w:tmpl w:val="CF68825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25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47141C6E"/>
    <w:multiLevelType w:val="hybridMultilevel"/>
    <w:tmpl w:val="A5D8E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4B6347"/>
    <w:multiLevelType w:val="hybridMultilevel"/>
    <w:tmpl w:val="EA4ADC2A"/>
    <w:lvl w:ilvl="0" w:tplc="BE82F6B6">
      <w:numFmt w:val="bullet"/>
      <w:lvlText w:val="■"/>
      <w:lvlJc w:val="left"/>
      <w:pPr>
        <w:ind w:left="858" w:hanging="357"/>
      </w:pPr>
      <w:rPr>
        <w:rFonts w:ascii="Arial" w:eastAsia="Arial" w:hAnsi="Arial" w:cs="Arial" w:hint="default"/>
        <w:color w:val="D6727C"/>
        <w:w w:val="102"/>
        <w:sz w:val="36"/>
        <w:szCs w:val="36"/>
      </w:rPr>
    </w:lvl>
    <w:lvl w:ilvl="1" w:tplc="3BF22F2A">
      <w:numFmt w:val="bullet"/>
      <w:lvlText w:val="•"/>
      <w:lvlJc w:val="left"/>
      <w:pPr>
        <w:ind w:left="1677" w:hanging="357"/>
      </w:pPr>
      <w:rPr>
        <w:rFonts w:hint="default"/>
      </w:rPr>
    </w:lvl>
    <w:lvl w:ilvl="2" w:tplc="C8E6D986">
      <w:numFmt w:val="bullet"/>
      <w:lvlText w:val="•"/>
      <w:lvlJc w:val="left"/>
      <w:pPr>
        <w:ind w:left="2494" w:hanging="357"/>
      </w:pPr>
      <w:rPr>
        <w:rFonts w:hint="default"/>
      </w:rPr>
    </w:lvl>
    <w:lvl w:ilvl="3" w:tplc="68E20D90">
      <w:numFmt w:val="bullet"/>
      <w:lvlText w:val="•"/>
      <w:lvlJc w:val="left"/>
      <w:pPr>
        <w:ind w:left="3312" w:hanging="357"/>
      </w:pPr>
      <w:rPr>
        <w:rFonts w:hint="default"/>
      </w:rPr>
    </w:lvl>
    <w:lvl w:ilvl="4" w:tplc="BC209A56">
      <w:numFmt w:val="bullet"/>
      <w:lvlText w:val="•"/>
      <w:lvlJc w:val="left"/>
      <w:pPr>
        <w:ind w:left="4129" w:hanging="357"/>
      </w:pPr>
      <w:rPr>
        <w:rFonts w:hint="default"/>
      </w:rPr>
    </w:lvl>
    <w:lvl w:ilvl="5" w:tplc="592A233C">
      <w:numFmt w:val="bullet"/>
      <w:lvlText w:val="•"/>
      <w:lvlJc w:val="left"/>
      <w:pPr>
        <w:ind w:left="4946" w:hanging="357"/>
      </w:pPr>
      <w:rPr>
        <w:rFonts w:hint="default"/>
      </w:rPr>
    </w:lvl>
    <w:lvl w:ilvl="6" w:tplc="40C07FF2">
      <w:numFmt w:val="bullet"/>
      <w:lvlText w:val="•"/>
      <w:lvlJc w:val="left"/>
      <w:pPr>
        <w:ind w:left="5764" w:hanging="357"/>
      </w:pPr>
      <w:rPr>
        <w:rFonts w:hint="default"/>
      </w:rPr>
    </w:lvl>
    <w:lvl w:ilvl="7" w:tplc="D60C248C">
      <w:numFmt w:val="bullet"/>
      <w:lvlText w:val="•"/>
      <w:lvlJc w:val="left"/>
      <w:pPr>
        <w:ind w:left="6581" w:hanging="357"/>
      </w:pPr>
      <w:rPr>
        <w:rFonts w:hint="default"/>
      </w:rPr>
    </w:lvl>
    <w:lvl w:ilvl="8" w:tplc="8F6A4240">
      <w:numFmt w:val="bullet"/>
      <w:lvlText w:val="•"/>
      <w:lvlJc w:val="left"/>
      <w:pPr>
        <w:ind w:left="7398" w:hanging="357"/>
      </w:pPr>
      <w:rPr>
        <w:rFonts w:hint="default"/>
      </w:rPr>
    </w:lvl>
  </w:abstractNum>
  <w:abstractNum w:abstractNumId="29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002864"/>
    <w:multiLevelType w:val="hybridMultilevel"/>
    <w:tmpl w:val="91E689D4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4D7D2"/>
    <w:multiLevelType w:val="hybridMultilevel"/>
    <w:tmpl w:val="FDDFF0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>
    <w:nsid w:val="79BF78E6"/>
    <w:multiLevelType w:val="multilevel"/>
    <w:tmpl w:val="B080BD6A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263812"/>
    <w:multiLevelType w:val="hybridMultilevel"/>
    <w:tmpl w:val="CF7D17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7"/>
  </w:num>
  <w:num w:numId="4">
    <w:abstractNumId w:val="8"/>
  </w:num>
  <w:num w:numId="5">
    <w:abstractNumId w:val="18"/>
  </w:num>
  <w:num w:numId="6">
    <w:abstractNumId w:val="10"/>
  </w:num>
  <w:num w:numId="7">
    <w:abstractNumId w:val="24"/>
  </w:num>
  <w:num w:numId="8">
    <w:abstractNumId w:val="20"/>
  </w:num>
  <w:num w:numId="9">
    <w:abstractNumId w:val="23"/>
  </w:num>
  <w:num w:numId="10">
    <w:abstractNumId w:val="13"/>
  </w:num>
  <w:num w:numId="11">
    <w:abstractNumId w:val="34"/>
  </w:num>
  <w:num w:numId="12">
    <w:abstractNumId w:val="7"/>
  </w:num>
  <w:num w:numId="13">
    <w:abstractNumId w:val="11"/>
  </w:num>
  <w:num w:numId="14">
    <w:abstractNumId w:val="25"/>
  </w:num>
  <w:num w:numId="15">
    <w:abstractNumId w:val="31"/>
  </w:num>
  <w:num w:numId="16">
    <w:abstractNumId w:val="16"/>
  </w:num>
  <w:num w:numId="17">
    <w:abstractNumId w:val="21"/>
  </w:num>
  <w:num w:numId="18">
    <w:abstractNumId w:val="29"/>
  </w:num>
  <w:num w:numId="19">
    <w:abstractNumId w:val="3"/>
  </w:num>
  <w:num w:numId="20">
    <w:abstractNumId w:val="17"/>
  </w:num>
  <w:num w:numId="21">
    <w:abstractNumId w:val="30"/>
  </w:num>
  <w:num w:numId="22">
    <w:abstractNumId w:val="2"/>
  </w:num>
  <w:num w:numId="23">
    <w:abstractNumId w:val="35"/>
  </w:num>
  <w:num w:numId="24">
    <w:abstractNumId w:val="4"/>
  </w:num>
  <w:num w:numId="25">
    <w:abstractNumId w:val="12"/>
  </w:num>
  <w:num w:numId="26">
    <w:abstractNumId w:val="19"/>
  </w:num>
  <w:num w:numId="27">
    <w:abstractNumId w:val="14"/>
  </w:num>
  <w:num w:numId="28">
    <w:abstractNumId w:val="5"/>
  </w:num>
  <w:num w:numId="29">
    <w:abstractNumId w:val="32"/>
  </w:num>
  <w:num w:numId="30">
    <w:abstractNumId w:val="26"/>
  </w:num>
  <w:num w:numId="31">
    <w:abstractNumId w:val="28"/>
  </w:num>
  <w:num w:numId="32">
    <w:abstractNumId w:val="9"/>
  </w:num>
  <w:num w:numId="33">
    <w:abstractNumId w:val="6"/>
  </w:num>
  <w:num w:numId="34">
    <w:abstractNumId w:val="33"/>
  </w:num>
  <w:num w:numId="35">
    <w:abstractNumId w:val="36"/>
  </w:num>
  <w:num w:numId="36">
    <w:abstractNumId w:val="1"/>
  </w:num>
  <w:num w:numId="37">
    <w:abstractNumId w:val="0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82A08"/>
    <w:rsid w:val="00090E8E"/>
    <w:rsid w:val="000A7844"/>
    <w:rsid w:val="000B05E8"/>
    <w:rsid w:val="000B0AEF"/>
    <w:rsid w:val="000B4D85"/>
    <w:rsid w:val="000D18D0"/>
    <w:rsid w:val="001019F4"/>
    <w:rsid w:val="001066D4"/>
    <w:rsid w:val="00112D3D"/>
    <w:rsid w:val="00114208"/>
    <w:rsid w:val="00114437"/>
    <w:rsid w:val="0012040A"/>
    <w:rsid w:val="00122BAB"/>
    <w:rsid w:val="001261AF"/>
    <w:rsid w:val="001267C6"/>
    <w:rsid w:val="00131C77"/>
    <w:rsid w:val="00135AEA"/>
    <w:rsid w:val="0013673A"/>
    <w:rsid w:val="0016067B"/>
    <w:rsid w:val="001660F3"/>
    <w:rsid w:val="0016737E"/>
    <w:rsid w:val="00172F52"/>
    <w:rsid w:val="00175438"/>
    <w:rsid w:val="00184F90"/>
    <w:rsid w:val="001A4FFF"/>
    <w:rsid w:val="001D1D1D"/>
    <w:rsid w:val="001E22D8"/>
    <w:rsid w:val="001E7911"/>
    <w:rsid w:val="00200821"/>
    <w:rsid w:val="00204EF5"/>
    <w:rsid w:val="00206C7F"/>
    <w:rsid w:val="002271C8"/>
    <w:rsid w:val="002314B1"/>
    <w:rsid w:val="00233C5C"/>
    <w:rsid w:val="00235734"/>
    <w:rsid w:val="00247253"/>
    <w:rsid w:val="00247BE0"/>
    <w:rsid w:val="00264331"/>
    <w:rsid w:val="00281B3C"/>
    <w:rsid w:val="00282128"/>
    <w:rsid w:val="002A2ECD"/>
    <w:rsid w:val="002A450C"/>
    <w:rsid w:val="002B72C2"/>
    <w:rsid w:val="002C2B22"/>
    <w:rsid w:val="002D1344"/>
    <w:rsid w:val="002E0901"/>
    <w:rsid w:val="002E36D7"/>
    <w:rsid w:val="002E7436"/>
    <w:rsid w:val="003048FA"/>
    <w:rsid w:val="0034615E"/>
    <w:rsid w:val="0035359C"/>
    <w:rsid w:val="003575C7"/>
    <w:rsid w:val="003577D8"/>
    <w:rsid w:val="00370D7A"/>
    <w:rsid w:val="003764EE"/>
    <w:rsid w:val="003820FA"/>
    <w:rsid w:val="0038646B"/>
    <w:rsid w:val="00391C93"/>
    <w:rsid w:val="003A7698"/>
    <w:rsid w:val="003B02BF"/>
    <w:rsid w:val="003B79C4"/>
    <w:rsid w:val="003C3C3E"/>
    <w:rsid w:val="003C7CE1"/>
    <w:rsid w:val="003D498A"/>
    <w:rsid w:val="003D5645"/>
    <w:rsid w:val="003D74D5"/>
    <w:rsid w:val="003F6A04"/>
    <w:rsid w:val="003F6AB8"/>
    <w:rsid w:val="003F7FED"/>
    <w:rsid w:val="004069FD"/>
    <w:rsid w:val="00411C6F"/>
    <w:rsid w:val="00433A02"/>
    <w:rsid w:val="00437689"/>
    <w:rsid w:val="004552CA"/>
    <w:rsid w:val="004561E5"/>
    <w:rsid w:val="00457B21"/>
    <w:rsid w:val="0047516F"/>
    <w:rsid w:val="0048062E"/>
    <w:rsid w:val="004B1711"/>
    <w:rsid w:val="004C385E"/>
    <w:rsid w:val="004D242D"/>
    <w:rsid w:val="004E12D4"/>
    <w:rsid w:val="004F07EA"/>
    <w:rsid w:val="004F144D"/>
    <w:rsid w:val="00510AD2"/>
    <w:rsid w:val="00541648"/>
    <w:rsid w:val="00556712"/>
    <w:rsid w:val="0056585C"/>
    <w:rsid w:val="005749D6"/>
    <w:rsid w:val="00585FC6"/>
    <w:rsid w:val="005B2E66"/>
    <w:rsid w:val="005B6FA5"/>
    <w:rsid w:val="005D3AEF"/>
    <w:rsid w:val="005D507F"/>
    <w:rsid w:val="005E618D"/>
    <w:rsid w:val="00600C07"/>
    <w:rsid w:val="006035C1"/>
    <w:rsid w:val="00604781"/>
    <w:rsid w:val="00607E06"/>
    <w:rsid w:val="00621595"/>
    <w:rsid w:val="00631F46"/>
    <w:rsid w:val="00643215"/>
    <w:rsid w:val="0065076E"/>
    <w:rsid w:val="006520DF"/>
    <w:rsid w:val="006614DF"/>
    <w:rsid w:val="00663F46"/>
    <w:rsid w:val="006734D1"/>
    <w:rsid w:val="00682DE6"/>
    <w:rsid w:val="00693E19"/>
    <w:rsid w:val="006A2648"/>
    <w:rsid w:val="006A7061"/>
    <w:rsid w:val="006C79F7"/>
    <w:rsid w:val="006C7D91"/>
    <w:rsid w:val="006D527D"/>
    <w:rsid w:val="006E6753"/>
    <w:rsid w:val="006F183D"/>
    <w:rsid w:val="006F7701"/>
    <w:rsid w:val="007046F4"/>
    <w:rsid w:val="00707A04"/>
    <w:rsid w:val="007258A0"/>
    <w:rsid w:val="0072657A"/>
    <w:rsid w:val="007300EC"/>
    <w:rsid w:val="00731D4B"/>
    <w:rsid w:val="0073321B"/>
    <w:rsid w:val="00757487"/>
    <w:rsid w:val="007611A4"/>
    <w:rsid w:val="0077728B"/>
    <w:rsid w:val="00783215"/>
    <w:rsid w:val="00784AC5"/>
    <w:rsid w:val="00792A7A"/>
    <w:rsid w:val="00793D94"/>
    <w:rsid w:val="007A32A8"/>
    <w:rsid w:val="007C251A"/>
    <w:rsid w:val="007D2E1D"/>
    <w:rsid w:val="007E43A5"/>
    <w:rsid w:val="007E65B4"/>
    <w:rsid w:val="007E79B6"/>
    <w:rsid w:val="007F1FA7"/>
    <w:rsid w:val="007F5E61"/>
    <w:rsid w:val="0080234B"/>
    <w:rsid w:val="00803F94"/>
    <w:rsid w:val="008215BE"/>
    <w:rsid w:val="00824C2B"/>
    <w:rsid w:val="00834E64"/>
    <w:rsid w:val="00835A94"/>
    <w:rsid w:val="008516D6"/>
    <w:rsid w:val="00853D83"/>
    <w:rsid w:val="008668B8"/>
    <w:rsid w:val="00874C52"/>
    <w:rsid w:val="00877C04"/>
    <w:rsid w:val="00883A3E"/>
    <w:rsid w:val="008A3305"/>
    <w:rsid w:val="008C0D87"/>
    <w:rsid w:val="008C4554"/>
    <w:rsid w:val="00905EAD"/>
    <w:rsid w:val="00905EB1"/>
    <w:rsid w:val="00914AD8"/>
    <w:rsid w:val="0091632E"/>
    <w:rsid w:val="00916482"/>
    <w:rsid w:val="00930F8F"/>
    <w:rsid w:val="00944B5B"/>
    <w:rsid w:val="00946D48"/>
    <w:rsid w:val="00947703"/>
    <w:rsid w:val="009561BA"/>
    <w:rsid w:val="00971F06"/>
    <w:rsid w:val="00983EDD"/>
    <w:rsid w:val="009C37DD"/>
    <w:rsid w:val="009F7213"/>
    <w:rsid w:val="00A120BD"/>
    <w:rsid w:val="00A32F1E"/>
    <w:rsid w:val="00A443FA"/>
    <w:rsid w:val="00A461F1"/>
    <w:rsid w:val="00A51D85"/>
    <w:rsid w:val="00A65FE4"/>
    <w:rsid w:val="00A667B2"/>
    <w:rsid w:val="00A8566B"/>
    <w:rsid w:val="00A87B25"/>
    <w:rsid w:val="00A91022"/>
    <w:rsid w:val="00AA4B83"/>
    <w:rsid w:val="00AA74BA"/>
    <w:rsid w:val="00AB26F7"/>
    <w:rsid w:val="00AC11C1"/>
    <w:rsid w:val="00AC7081"/>
    <w:rsid w:val="00AE7087"/>
    <w:rsid w:val="00AF1E70"/>
    <w:rsid w:val="00AF495D"/>
    <w:rsid w:val="00B0378F"/>
    <w:rsid w:val="00B05A76"/>
    <w:rsid w:val="00B10A1F"/>
    <w:rsid w:val="00B14496"/>
    <w:rsid w:val="00B23813"/>
    <w:rsid w:val="00B27828"/>
    <w:rsid w:val="00B42B29"/>
    <w:rsid w:val="00B44AE9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BE7F00"/>
    <w:rsid w:val="00BF6FDE"/>
    <w:rsid w:val="00C01F84"/>
    <w:rsid w:val="00C05A79"/>
    <w:rsid w:val="00C079A6"/>
    <w:rsid w:val="00C320E2"/>
    <w:rsid w:val="00C36973"/>
    <w:rsid w:val="00C37A7A"/>
    <w:rsid w:val="00C55B13"/>
    <w:rsid w:val="00C645BB"/>
    <w:rsid w:val="00C65785"/>
    <w:rsid w:val="00C65FF0"/>
    <w:rsid w:val="00C70815"/>
    <w:rsid w:val="00C82E12"/>
    <w:rsid w:val="00C86DB5"/>
    <w:rsid w:val="00C966A4"/>
    <w:rsid w:val="00CA47FA"/>
    <w:rsid w:val="00CC37B4"/>
    <w:rsid w:val="00CC6644"/>
    <w:rsid w:val="00CD2B76"/>
    <w:rsid w:val="00D02651"/>
    <w:rsid w:val="00D06A75"/>
    <w:rsid w:val="00D074C6"/>
    <w:rsid w:val="00D427DA"/>
    <w:rsid w:val="00D50450"/>
    <w:rsid w:val="00D57D84"/>
    <w:rsid w:val="00D63976"/>
    <w:rsid w:val="00D71D42"/>
    <w:rsid w:val="00D8255F"/>
    <w:rsid w:val="00D9048E"/>
    <w:rsid w:val="00D91CF1"/>
    <w:rsid w:val="00D97E8F"/>
    <w:rsid w:val="00DB1B56"/>
    <w:rsid w:val="00DC2087"/>
    <w:rsid w:val="00DC527F"/>
    <w:rsid w:val="00DC7DE9"/>
    <w:rsid w:val="00DD18DF"/>
    <w:rsid w:val="00DE311C"/>
    <w:rsid w:val="00DE6B11"/>
    <w:rsid w:val="00DF2CF9"/>
    <w:rsid w:val="00E04F24"/>
    <w:rsid w:val="00E10B36"/>
    <w:rsid w:val="00E130D2"/>
    <w:rsid w:val="00E13FF5"/>
    <w:rsid w:val="00E159B4"/>
    <w:rsid w:val="00E34AF2"/>
    <w:rsid w:val="00E50CC6"/>
    <w:rsid w:val="00E54DC0"/>
    <w:rsid w:val="00E56E49"/>
    <w:rsid w:val="00E61408"/>
    <w:rsid w:val="00E829B1"/>
    <w:rsid w:val="00EB2DAB"/>
    <w:rsid w:val="00ED5D03"/>
    <w:rsid w:val="00EE6CFE"/>
    <w:rsid w:val="00F14483"/>
    <w:rsid w:val="00F1484B"/>
    <w:rsid w:val="00F159B4"/>
    <w:rsid w:val="00F21B83"/>
    <w:rsid w:val="00F21FA9"/>
    <w:rsid w:val="00F2268B"/>
    <w:rsid w:val="00F310EF"/>
    <w:rsid w:val="00F430C1"/>
    <w:rsid w:val="00F500A7"/>
    <w:rsid w:val="00F55B08"/>
    <w:rsid w:val="00F67177"/>
    <w:rsid w:val="00F84672"/>
    <w:rsid w:val="00FA6AEB"/>
    <w:rsid w:val="00FC1A46"/>
    <w:rsid w:val="00FE0622"/>
    <w:rsid w:val="00FE5206"/>
    <w:rsid w:val="00FF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75E9A7"/>
  <w15:docId w15:val="{68DFBF81-DC79-4F17-8D31-D52BA7FE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27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D427DA"/>
    <w:pPr>
      <w:widowControl w:val="0"/>
      <w:overflowPunct/>
      <w:adjustRightInd/>
      <w:ind w:left="401" w:hanging="289"/>
      <w:textAlignment w:val="auto"/>
      <w:outlineLvl w:val="1"/>
    </w:pPr>
    <w:rPr>
      <w:rFonts w:ascii="Arial" w:eastAsia="Arial" w:hAnsi="Arial" w:cs="Arial"/>
      <w:b/>
      <w:bCs/>
      <w:sz w:val="23"/>
      <w:szCs w:val="23"/>
      <w:lang w:val="en-US" w:eastAsia="en-US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1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Bodytext3">
    <w:name w:val="Body text (3)_"/>
    <w:basedOn w:val="Predvolenpsmoodseku"/>
    <w:link w:val="Bodytext30"/>
    <w:rsid w:val="00F1484B"/>
    <w:rPr>
      <w:rFonts w:ascii="Franklin Gothic Book" w:eastAsia="Franklin Gothic Book" w:hAnsi="Franklin Gothic Book" w:cs="Franklin Gothic Book"/>
      <w:b/>
      <w:bCs/>
      <w:sz w:val="20"/>
      <w:szCs w:val="20"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F1484B"/>
    <w:pPr>
      <w:widowControl w:val="0"/>
      <w:shd w:val="clear" w:color="auto" w:fill="FFFFFF"/>
      <w:overflowPunct/>
      <w:autoSpaceDE/>
      <w:autoSpaceDN/>
      <w:adjustRightInd/>
      <w:spacing w:after="420" w:line="226" w:lineRule="exact"/>
      <w:textAlignment w:val="auto"/>
    </w:pPr>
    <w:rPr>
      <w:rFonts w:ascii="Franklin Gothic Book" w:eastAsia="Franklin Gothic Book" w:hAnsi="Franklin Gothic Book" w:cs="Franklin Gothic Book"/>
      <w:b/>
      <w:bCs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55B0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D427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427DA"/>
    <w:rPr>
      <w:rFonts w:ascii="Arial" w:eastAsia="Arial" w:hAnsi="Arial" w:cs="Arial"/>
      <w:b/>
      <w:bCs/>
      <w:sz w:val="23"/>
      <w:szCs w:val="23"/>
      <w:lang w:val="en-US"/>
    </w:rPr>
  </w:style>
  <w:style w:type="paragraph" w:customStyle="1" w:styleId="TableParagraph">
    <w:name w:val="Table Paragraph"/>
    <w:basedOn w:val="Normlny"/>
    <w:uiPriority w:val="1"/>
    <w:qFormat/>
    <w:rsid w:val="00D427DA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footnotedescription">
    <w:name w:val="footnote description"/>
    <w:next w:val="Normlny"/>
    <w:link w:val="footnotedescriptionChar"/>
    <w:hidden/>
    <w:rsid w:val="00A65FE4"/>
    <w:pPr>
      <w:spacing w:after="0" w:line="259" w:lineRule="auto"/>
      <w:ind w:left="14"/>
    </w:pPr>
    <w:rPr>
      <w:rFonts w:ascii="Times New Roman" w:eastAsia="Times New Roman" w:hAnsi="Times New Roman" w:cs="Times New Roman"/>
      <w:color w:val="000000"/>
      <w:sz w:val="20"/>
      <w:lang w:eastAsia="sk-SK"/>
    </w:rPr>
  </w:style>
  <w:style w:type="character" w:customStyle="1" w:styleId="footnotedescriptionChar">
    <w:name w:val="footnote description Char"/>
    <w:link w:val="footnotedescription"/>
    <w:rsid w:val="00A65FE4"/>
    <w:rPr>
      <w:rFonts w:ascii="Times New Roman" w:eastAsia="Times New Roman" w:hAnsi="Times New Roman" w:cs="Times New Roman"/>
      <w:color w:val="000000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8465-A41F-4CFD-8523-91CE2879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31</cp:revision>
  <cp:lastPrinted>2023-10-24T13:55:00Z</cp:lastPrinted>
  <dcterms:created xsi:type="dcterms:W3CDTF">2020-11-30T14:34:00Z</dcterms:created>
  <dcterms:modified xsi:type="dcterms:W3CDTF">2023-11-20T08:24:00Z</dcterms:modified>
</cp:coreProperties>
</file>