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50AFBD26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051025" w:rsidRPr="00051025">
        <w:rPr>
          <w:rFonts w:ascii="Times New Roman" w:hAnsi="Times New Roman" w:cs="Times New Roman"/>
          <w:b/>
          <w:bCs/>
          <w:sz w:val="24"/>
          <w:szCs w:val="24"/>
        </w:rPr>
        <w:t>Školenie kybernetickej bezpečnosti pre zamestnancov odboru            bezpečnosti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66AEE5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051025">
        <w:rPr>
          <w:rFonts w:ascii="Times New Roman" w:hAnsi="Times New Roman" w:cs="Times New Roman"/>
          <w:sz w:val="24"/>
          <w:szCs w:val="24"/>
        </w:rPr>
        <w:t>04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51025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51025"/>
    <w:rsid w:val="002361C1"/>
    <w:rsid w:val="002C05F9"/>
    <w:rsid w:val="0039266C"/>
    <w:rsid w:val="005B0375"/>
    <w:rsid w:val="008E69E5"/>
    <w:rsid w:val="00AA414A"/>
    <w:rsid w:val="00CB0753"/>
    <w:rsid w:val="00CF24B3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Company>MVSR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2023-07-28T07:04:00Z</dcterms:created>
  <dcterms:modified xsi:type="dcterms:W3CDTF">2023-07-28T07:22:00Z</dcterms:modified>
</cp:coreProperties>
</file>