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5F1DBC" w:rsidRDefault="007A0075" w:rsidP="00582C05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Ministerstvo vnútra Slovenskej republiky realizuje prieskum trhu na predmet zákazky</w:t>
      </w:r>
      <w:r w:rsidR="00C95DCA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bookmarkStart w:id="0" w:name="_GoBack"/>
      <w:r w:rsidR="00C95DCA">
        <w:rPr>
          <w:sz w:val="24"/>
          <w:szCs w:val="24"/>
        </w:rPr>
        <w:t>Náhradné diely - stoličky</w:t>
      </w:r>
      <w:r w:rsidR="00D760B4">
        <w:rPr>
          <w:sz w:val="24"/>
          <w:szCs w:val="24"/>
        </w:rPr>
        <w:t xml:space="preserve"> pre útvary MV SR a krajské centrá podpory</w:t>
      </w:r>
      <w:bookmarkEnd w:id="0"/>
      <w:r w:rsidR="00D760B4">
        <w:rPr>
          <w:sz w:val="24"/>
          <w:szCs w:val="24"/>
        </w:rPr>
        <w:t>.</w:t>
      </w:r>
      <w:r w:rsidR="00582C05" w:rsidRPr="005F1DBC">
        <w:rPr>
          <w:sz w:val="24"/>
          <w:szCs w:val="24"/>
        </w:rPr>
        <w:t xml:space="preserve">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C95DCA">
        <w:rPr>
          <w:rFonts w:ascii="Times New Roman" w:hAnsi="Times New Roman"/>
          <w:b w:val="0"/>
          <w:sz w:val="24"/>
          <w:szCs w:val="24"/>
          <w:lang w:val="sk-SK"/>
        </w:rPr>
        <w:t>08.08.2023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 w:rsidR="00D760B4"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 prílohe Vám zasielame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Prílohu č. 1 – ktorá obsahuje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 a</w:t>
      </w:r>
      <w:r w:rsidR="00C95DCA">
        <w:rPr>
          <w:rFonts w:ascii="Times New Roman" w:hAnsi="Times New Roman"/>
          <w:b w:val="0"/>
          <w:sz w:val="24"/>
          <w:szCs w:val="24"/>
          <w:lang w:val="sk-SK"/>
        </w:rPr>
        <w:t xml:space="preserve"> žiadosť o cenovú ponuku.</w:t>
      </w:r>
    </w:p>
    <w:p w:rsidR="007A0075" w:rsidRPr="001C43DD" w:rsidRDefault="00AC30A2" w:rsidP="007A007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="007A0075" w:rsidRPr="001C43DD">
        <w:rPr>
          <w:rFonts w:ascii="Times New Roman" w:hAnsi="Times New Roman"/>
          <w:sz w:val="24"/>
          <w:szCs w:val="24"/>
          <w:lang w:val="sk-SK"/>
        </w:rPr>
        <w:t>onuku predkladajte len prostredníctvom systému JOSEPHINE</w:t>
      </w:r>
      <w:r w:rsidRPr="001C43DD">
        <w:rPr>
          <w:rFonts w:ascii="Times New Roman" w:hAnsi="Times New Roman"/>
          <w:sz w:val="24"/>
          <w:szCs w:val="24"/>
          <w:lang w:val="sk-SK"/>
        </w:rPr>
        <w:t>, a to zaslaním vyplnenej prílohy č. 1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</w:t>
      </w:r>
      <w:r w:rsidR="00D760B4">
        <w:rPr>
          <w:b w:val="0"/>
          <w:iCs/>
          <w:sz w:val="24"/>
          <w:szCs w:val="24"/>
          <w:lang w:val="sk-SK"/>
        </w:rPr>
        <w:t> </w:t>
      </w:r>
      <w:r w:rsidRPr="00AB65B3">
        <w:rPr>
          <w:b w:val="0"/>
          <w:iCs/>
          <w:sz w:val="24"/>
          <w:szCs w:val="24"/>
          <w:lang w:val="sk-SK"/>
        </w:rPr>
        <w:t>dopravou</w:t>
      </w:r>
      <w:r w:rsidR="00D760B4">
        <w:rPr>
          <w:b w:val="0"/>
          <w:iCs/>
          <w:sz w:val="24"/>
          <w:szCs w:val="24"/>
          <w:lang w:val="sk-SK"/>
        </w:rPr>
        <w:t xml:space="preserve"> a vyložením</w:t>
      </w:r>
      <w:r w:rsidR="00C95DCA">
        <w:rPr>
          <w:b w:val="0"/>
          <w:iCs/>
          <w:sz w:val="24"/>
          <w:szCs w:val="24"/>
          <w:lang w:val="sk-SK"/>
        </w:rPr>
        <w:t xml:space="preserve"> na miesta plnenia:</w:t>
      </w:r>
    </w:p>
    <w:p w:rsidR="00C95DCA" w:rsidRDefault="00C95DCA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</w:p>
    <w:tbl>
      <w:tblPr>
        <w:tblW w:w="75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3578"/>
      </w:tblGrid>
      <w:tr w:rsidR="00C95DCA" w:rsidTr="00C95DCA">
        <w:trPr>
          <w:trHeight w:val="313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DCA" w:rsidRDefault="00C95DCA" w:rsidP="003B30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lang w:eastAsia="sk-SK"/>
              </w:rPr>
              <w:t>Názov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DCA" w:rsidRDefault="00C95DCA" w:rsidP="003B30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lang w:eastAsia="sk-SK"/>
              </w:rPr>
              <w:t>Sídlo</w:t>
            </w:r>
          </w:p>
        </w:tc>
      </w:tr>
      <w:tr w:rsidR="00C95DCA" w:rsidRPr="003C7D5B" w:rsidTr="00C95DCA">
        <w:trPr>
          <w:trHeight w:val="364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DCA" w:rsidRPr="003C7D5B" w:rsidRDefault="00C95DCA" w:rsidP="003B30B8">
            <w:pPr>
              <w:autoSpaceDE w:val="0"/>
              <w:autoSpaceDN w:val="0"/>
              <w:ind w:right="3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3C7D5B">
              <w:rPr>
                <w:rFonts w:ascii="Arial Narrow" w:hAnsi="Arial Narrow"/>
                <w:sz w:val="22"/>
                <w:szCs w:val="22"/>
              </w:rPr>
              <w:t>Sekcia ekonomiky MV SR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DCA" w:rsidRPr="003C7D5B" w:rsidRDefault="00C95DCA" w:rsidP="003B30B8">
            <w:pPr>
              <w:ind w:right="300"/>
              <w:rPr>
                <w:rFonts w:ascii="Arial Narrow" w:hAnsi="Arial Narrow"/>
                <w:b w:val="0"/>
                <w:sz w:val="22"/>
                <w:szCs w:val="22"/>
                <w:highlight w:val="yellow"/>
              </w:rPr>
            </w:pPr>
            <w:r w:rsidRPr="001F1EC3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Sklad v obci Rohovce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 93030</w:t>
            </w:r>
          </w:p>
        </w:tc>
      </w:tr>
      <w:tr w:rsidR="00C95DCA" w:rsidRPr="00764186" w:rsidTr="00C95DCA">
        <w:trPr>
          <w:trHeight w:val="364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5DCA" w:rsidRPr="003C7D5B" w:rsidRDefault="00C95DCA" w:rsidP="003B30B8">
            <w:pPr>
              <w:autoSpaceDE w:val="0"/>
              <w:autoSpaceDN w:val="0"/>
              <w:ind w:right="300"/>
              <w:rPr>
                <w:rFonts w:ascii="Arial Narrow" w:eastAsia="Calibri" w:hAnsi="Arial Narrow" w:cs="Arial"/>
                <w:b w:val="0"/>
                <w:color w:val="000000"/>
                <w:sz w:val="22"/>
                <w:szCs w:val="22"/>
                <w:lang w:eastAsia="en-US"/>
              </w:rPr>
            </w:pPr>
            <w:r w:rsidRPr="003C7D5B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Centrum podpory  Bratislava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5DCA" w:rsidRPr="00764186" w:rsidRDefault="00C95DCA" w:rsidP="003B30B8">
            <w:pPr>
              <w:ind w:right="3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764186">
              <w:rPr>
                <w:rFonts w:ascii="Arial Narrow" w:hAnsi="Arial Narrow"/>
                <w:sz w:val="22"/>
                <w:szCs w:val="22"/>
              </w:rPr>
              <w:t>Špitálska 14, 812 28 Bratislava</w:t>
            </w:r>
          </w:p>
        </w:tc>
      </w:tr>
      <w:tr w:rsidR="00C95DCA" w:rsidRPr="00764186" w:rsidTr="00C95DCA">
        <w:trPr>
          <w:trHeight w:val="364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3C7D5B" w:rsidRDefault="00C95DCA" w:rsidP="003B30B8">
            <w:pPr>
              <w:autoSpaceDE w:val="0"/>
              <w:autoSpaceDN w:val="0"/>
              <w:ind w:right="300"/>
              <w:rPr>
                <w:rFonts w:ascii="Arial Narrow" w:eastAsia="Calibri" w:hAnsi="Arial Narrow" w:cs="Arial"/>
                <w:b w:val="0"/>
                <w:color w:val="000000"/>
                <w:sz w:val="22"/>
                <w:szCs w:val="22"/>
                <w:lang w:eastAsia="en-US"/>
              </w:rPr>
            </w:pPr>
            <w:r w:rsidRPr="003C7D5B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Centrum podpory  Trnava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764186" w:rsidRDefault="00C95DCA" w:rsidP="003B30B8">
            <w:pPr>
              <w:ind w:right="3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764186">
              <w:rPr>
                <w:rFonts w:ascii="Arial Narrow" w:hAnsi="Arial Narrow"/>
                <w:sz w:val="22"/>
                <w:szCs w:val="22"/>
              </w:rPr>
              <w:t>Kollárova 31, 917 02 Trnava</w:t>
            </w:r>
          </w:p>
        </w:tc>
      </w:tr>
      <w:tr w:rsidR="00C95DCA" w:rsidRPr="00764186" w:rsidTr="00C95DCA">
        <w:trPr>
          <w:trHeight w:val="364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B632A4" w:rsidRDefault="00C95DCA" w:rsidP="003B30B8">
            <w:pPr>
              <w:autoSpaceDE w:val="0"/>
              <w:autoSpaceDN w:val="0"/>
              <w:ind w:right="300"/>
              <w:rPr>
                <w:rFonts w:ascii="Arial Narrow" w:eastAsia="Calibri" w:hAnsi="Arial Narrow" w:cs="Arial"/>
                <w:b w:val="0"/>
                <w:color w:val="000000"/>
                <w:sz w:val="22"/>
                <w:szCs w:val="22"/>
                <w:lang w:eastAsia="en-US"/>
              </w:rPr>
            </w:pPr>
            <w:r w:rsidRPr="00B632A4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Centrum podpory  Trenčín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764186" w:rsidRDefault="00C95DCA" w:rsidP="003B30B8">
            <w:pPr>
              <w:ind w:right="3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764186">
              <w:rPr>
                <w:rFonts w:ascii="Arial Narrow" w:hAnsi="Arial Narrow"/>
                <w:sz w:val="22"/>
                <w:szCs w:val="22"/>
              </w:rPr>
              <w:t>Jilemnického 1, 911 01 Trenčín</w:t>
            </w:r>
          </w:p>
        </w:tc>
      </w:tr>
      <w:tr w:rsidR="00C95DCA" w:rsidRPr="005D704A" w:rsidTr="00C95DCA">
        <w:trPr>
          <w:trHeight w:val="364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B632A4" w:rsidRDefault="00C95DCA" w:rsidP="003B30B8">
            <w:pPr>
              <w:ind w:right="300"/>
              <w:rPr>
                <w:rFonts w:ascii="Arial Narrow" w:eastAsia="Calibri" w:hAnsi="Arial Narrow" w:cs="Arial"/>
                <w:b w:val="0"/>
                <w:color w:val="000000"/>
                <w:sz w:val="22"/>
                <w:szCs w:val="22"/>
                <w:lang w:eastAsia="en-US"/>
              </w:rPr>
            </w:pPr>
            <w:r w:rsidRPr="00B632A4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Centrum podpory  Nitra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5D704A" w:rsidRDefault="00C95DCA" w:rsidP="003B30B8">
            <w:pPr>
              <w:ind w:right="300"/>
              <w:rPr>
                <w:rFonts w:ascii="Arial Narrow" w:hAnsi="Arial Narrow"/>
                <w:b w:val="0"/>
                <w:sz w:val="22"/>
                <w:szCs w:val="22"/>
                <w:highlight w:val="yellow"/>
              </w:rPr>
            </w:pPr>
            <w:r w:rsidRPr="00764186">
              <w:rPr>
                <w:rFonts w:ascii="Arial Narrow" w:hAnsi="Arial Narrow"/>
                <w:sz w:val="22"/>
                <w:szCs w:val="22"/>
              </w:rPr>
              <w:t>Piesková 32, 949 01 Nitra</w:t>
            </w:r>
          </w:p>
        </w:tc>
      </w:tr>
      <w:tr w:rsidR="00C95DCA" w:rsidRPr="00764186" w:rsidTr="00C95DCA">
        <w:trPr>
          <w:trHeight w:val="403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B632A4" w:rsidRDefault="00C95DCA" w:rsidP="003B30B8">
            <w:pPr>
              <w:autoSpaceDE w:val="0"/>
              <w:autoSpaceDN w:val="0"/>
              <w:ind w:right="300"/>
              <w:rPr>
                <w:rFonts w:ascii="Arial Narrow" w:eastAsia="Calibri" w:hAnsi="Arial Narrow" w:cs="Arial"/>
                <w:b w:val="0"/>
                <w:color w:val="000000"/>
                <w:sz w:val="22"/>
                <w:szCs w:val="22"/>
                <w:lang w:eastAsia="en-US"/>
              </w:rPr>
            </w:pPr>
            <w:r w:rsidRPr="00B632A4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Centrum podpory  Žilina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764186" w:rsidRDefault="00C95DCA" w:rsidP="003B30B8">
            <w:pPr>
              <w:ind w:right="3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764186">
              <w:rPr>
                <w:rFonts w:ascii="Arial Narrow" w:hAnsi="Arial Narrow"/>
                <w:sz w:val="22"/>
                <w:szCs w:val="22"/>
              </w:rPr>
              <w:t>Kuzmányho 26, 012 23 Žilina</w:t>
            </w:r>
          </w:p>
        </w:tc>
      </w:tr>
      <w:tr w:rsidR="00C95DCA" w:rsidRPr="00764186" w:rsidTr="00C95DCA">
        <w:trPr>
          <w:trHeight w:val="386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B632A4" w:rsidRDefault="00C95DCA" w:rsidP="003B30B8">
            <w:pPr>
              <w:autoSpaceDE w:val="0"/>
              <w:autoSpaceDN w:val="0"/>
              <w:ind w:right="300"/>
              <w:rPr>
                <w:rFonts w:ascii="Arial Narrow" w:eastAsia="Calibri" w:hAnsi="Arial Narrow" w:cs="Arial"/>
                <w:b w:val="0"/>
                <w:color w:val="000000"/>
                <w:sz w:val="22"/>
                <w:szCs w:val="22"/>
                <w:lang w:eastAsia="en-US"/>
              </w:rPr>
            </w:pPr>
            <w:r w:rsidRPr="00B632A4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Centrum podpory  Banská Bystrica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764186" w:rsidRDefault="00C95DCA" w:rsidP="003B30B8">
            <w:pPr>
              <w:ind w:right="300"/>
              <w:rPr>
                <w:rFonts w:ascii="Arial Narrow" w:hAnsi="Arial Narrow"/>
                <w:sz w:val="22"/>
                <w:szCs w:val="22"/>
              </w:rPr>
            </w:pPr>
            <w:r w:rsidRPr="00764186">
              <w:rPr>
                <w:rFonts w:ascii="Arial Narrow" w:hAnsi="Arial Narrow"/>
                <w:sz w:val="22"/>
                <w:szCs w:val="22"/>
              </w:rPr>
              <w:t>Ulica 9. Mája 1, 974 86 Banská Bystrica</w:t>
            </w:r>
          </w:p>
        </w:tc>
      </w:tr>
      <w:tr w:rsidR="00C95DCA" w:rsidRPr="00764186" w:rsidTr="00C95DCA">
        <w:trPr>
          <w:trHeight w:val="352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3C7D5B" w:rsidRDefault="00C95DCA" w:rsidP="003B30B8">
            <w:pPr>
              <w:autoSpaceDE w:val="0"/>
              <w:autoSpaceDN w:val="0"/>
              <w:ind w:right="300"/>
              <w:rPr>
                <w:rFonts w:ascii="Arial Narrow" w:eastAsia="Calibri" w:hAnsi="Arial Narrow" w:cs="Arial"/>
                <w:b w:val="0"/>
                <w:color w:val="000000"/>
                <w:sz w:val="22"/>
                <w:szCs w:val="22"/>
                <w:lang w:eastAsia="en-US"/>
              </w:rPr>
            </w:pPr>
            <w:r w:rsidRPr="003C7D5B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Centrum podpory  Prešov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764186" w:rsidRDefault="00C95DCA" w:rsidP="003B30B8">
            <w:pPr>
              <w:ind w:right="3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764186">
              <w:rPr>
                <w:rFonts w:ascii="Arial Narrow" w:hAnsi="Arial Narrow"/>
                <w:sz w:val="22"/>
                <w:szCs w:val="22"/>
              </w:rPr>
              <w:t>Štúrova 7, 080 01 Prešov</w:t>
            </w:r>
          </w:p>
        </w:tc>
      </w:tr>
      <w:tr w:rsidR="00C95DCA" w:rsidRPr="00764186" w:rsidTr="00C95DCA">
        <w:trPr>
          <w:trHeight w:val="404"/>
        </w:trPr>
        <w:tc>
          <w:tcPr>
            <w:tcW w:w="39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3C7D5B" w:rsidRDefault="00C95DCA" w:rsidP="003B30B8">
            <w:pPr>
              <w:autoSpaceDE w:val="0"/>
              <w:autoSpaceDN w:val="0"/>
              <w:ind w:right="300"/>
              <w:rPr>
                <w:rFonts w:ascii="Arial Narrow" w:eastAsia="Calibri" w:hAnsi="Arial Narrow" w:cs="Arial"/>
                <w:b w:val="0"/>
                <w:color w:val="000000"/>
                <w:sz w:val="22"/>
                <w:szCs w:val="22"/>
                <w:lang w:eastAsia="en-US"/>
              </w:rPr>
            </w:pPr>
            <w:r w:rsidRPr="003C7D5B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>Centrum podpory  Košice</w:t>
            </w:r>
          </w:p>
        </w:tc>
        <w:tc>
          <w:tcPr>
            <w:tcW w:w="35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DCA" w:rsidRPr="00764186" w:rsidRDefault="00C95DCA" w:rsidP="003B30B8">
            <w:pPr>
              <w:ind w:right="3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764186">
              <w:rPr>
                <w:rFonts w:ascii="Arial Narrow" w:hAnsi="Arial Narrow"/>
                <w:sz w:val="22"/>
                <w:szCs w:val="22"/>
              </w:rPr>
              <w:t>Kuzmányho 8, 041 02 Košice</w:t>
            </w:r>
          </w:p>
        </w:tc>
      </w:tr>
    </w:tbl>
    <w:p w:rsidR="00C95DCA" w:rsidRPr="00AB65B3" w:rsidRDefault="00C95DCA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</w:p>
    <w:p w:rsidR="00AB65B3" w:rsidRDefault="00AB65B3" w:rsidP="00AB65B3">
      <w:pPr>
        <w:pStyle w:val="Default"/>
        <w:rPr>
          <w:bCs/>
        </w:rPr>
      </w:pPr>
    </w:p>
    <w:p w:rsidR="00C95DCA" w:rsidRPr="00AB65B3" w:rsidRDefault="00C95DCA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lastRenderedPageBreak/>
        <w:t xml:space="preserve">Verejný obstarávateľ požaduje, aby bolo v cene zahrnuté: </w:t>
      </w:r>
    </w:p>
    <w:p w:rsidR="00AB65B3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Verejný obstarávateľ požaduje na dodaný tovar záruku min. 24 mesiace. Záruka začína plynúť dňom dodania, t.j. odo dňa uvedenom v dodacom liste.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485DE3" w:rsidRPr="00D760B4" w:rsidRDefault="00485DE3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D760B4" w:rsidRPr="00D760B4" w:rsidRDefault="00D760B4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D760B4">
        <w:rPr>
          <w:rFonts w:ascii="Times New Roman" w:hAnsi="Times New Roman"/>
          <w:sz w:val="24"/>
          <w:szCs w:val="24"/>
        </w:rPr>
        <w:t>Verejný obstarávateľ požaduje dodať predmet zákazky nasledovným spôsobom: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obaly na zabalenie predmetu zákazky budú vyrobené z ľahko recyklovateľného materiálu, alebo materiálu z obnoviteľných zdrojov, alebo sa musí jednať o obalový systém pre opakované použitie, obaly z PVC sú vylúčené,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všetky obalové materiály musia byť ľahko oddeliteľné na recyklovateľné časti tvorené jedným materiálom (napr. lepenka, papier, textília),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po písomnom vyzvaní verejným obstarávateľom, dodávateľ zabezpečí odvoz materiálu použitého na zabalenie predmetu zákazky, ktorý je možné opätovne recyklovať a zabezpečiť jeho opätovné použitie formou recyklácie v recyklačných zariadeniach s regionálnou pôsobnosťou a zabezpečí likvidáciu materiálu použitého na zabalenie predmetu zákazky, ktorý nie je možné opätovne recyklovať, v zariadeniach na zhodnocovanie energie s regionálnou pôsobnosťou,</w:t>
      </w:r>
    </w:p>
    <w:p w:rsidR="00AB65B3" w:rsidRDefault="00D760B4" w:rsidP="007A0075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 xml:space="preserve">najneskôr do 5 dní od doručenia objednávky doručí verejnému obstarávateľovi zoznam recyklačných zariadení a zariadení na zhodnocovanie energie s regionálnou pôsobnosťou na udelenie súhlasu verejným obstarávateľom, verejný obstarávateľ sa zaväzuje, že udelenie súhlasu nebude bezdôvodne odoprené. </w:t>
      </w:r>
    </w:p>
    <w:p w:rsidR="00C51EFE" w:rsidRPr="00C51EFE" w:rsidRDefault="00C51EFE" w:rsidP="00C51EFE">
      <w:pPr>
        <w:pStyle w:val="CTL"/>
        <w:numPr>
          <w:ilvl w:val="0"/>
          <w:numId w:val="0"/>
        </w:numPr>
        <w:spacing w:line="24" w:lineRule="atLeast"/>
        <w:ind w:left="567"/>
        <w:rPr>
          <w:szCs w:val="24"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C95DCA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AA7"/>
    <w:multiLevelType w:val="hybridMultilevel"/>
    <w:tmpl w:val="3C7E075C"/>
    <w:lvl w:ilvl="0" w:tplc="C75459E8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1C43DD"/>
    <w:rsid w:val="003E7B75"/>
    <w:rsid w:val="00485DE3"/>
    <w:rsid w:val="00582C05"/>
    <w:rsid w:val="00645D1D"/>
    <w:rsid w:val="007A0075"/>
    <w:rsid w:val="00AB65B3"/>
    <w:rsid w:val="00AC30A2"/>
    <w:rsid w:val="00B5616B"/>
    <w:rsid w:val="00C51EFE"/>
    <w:rsid w:val="00C95DCA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7311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styleId="Odkaznakomentr">
    <w:name w:val="annotation reference"/>
    <w:uiPriority w:val="99"/>
    <w:unhideWhenUsed/>
    <w:qFormat/>
    <w:rsid w:val="00C95D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95DCA"/>
    <w:pPr>
      <w:tabs>
        <w:tab w:val="left" w:pos="2160"/>
        <w:tab w:val="left" w:pos="2880"/>
        <w:tab w:val="left" w:pos="4500"/>
      </w:tabs>
    </w:pPr>
    <w:rPr>
      <w:rFonts w:ascii="Arial" w:hAnsi="Arial"/>
      <w:b w:val="0"/>
      <w:lang w:val="sk-SK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5DC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10</cp:revision>
  <dcterms:created xsi:type="dcterms:W3CDTF">2023-07-19T08:26:00Z</dcterms:created>
  <dcterms:modified xsi:type="dcterms:W3CDTF">2023-08-02T16:21:00Z</dcterms:modified>
</cp:coreProperties>
</file>