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2683" w14:textId="77777777" w:rsidR="00D97782" w:rsidRPr="00702F86" w:rsidRDefault="00D97782" w:rsidP="002A0C7F">
      <w:pPr>
        <w:pStyle w:val="Default"/>
        <w:jc w:val="center"/>
        <w:rPr>
          <w:sz w:val="22"/>
          <w:szCs w:val="22"/>
        </w:rPr>
      </w:pPr>
      <w:r w:rsidRPr="00702F86">
        <w:rPr>
          <w:b/>
          <w:bCs/>
          <w:sz w:val="22"/>
          <w:szCs w:val="22"/>
        </w:rPr>
        <w:t>Zmluva</w:t>
      </w:r>
      <w:r w:rsidR="002A0C7F" w:rsidRPr="00702F86">
        <w:rPr>
          <w:b/>
          <w:bCs/>
          <w:sz w:val="22"/>
          <w:szCs w:val="22"/>
        </w:rPr>
        <w:t xml:space="preserve"> </w:t>
      </w:r>
      <w:r w:rsidRPr="00702F86">
        <w:rPr>
          <w:b/>
          <w:bCs/>
          <w:sz w:val="22"/>
          <w:szCs w:val="22"/>
        </w:rPr>
        <w:t>o zabezpečení plnenia bezpečnostných opatrení a notifikačných povinností</w:t>
      </w:r>
    </w:p>
    <w:p w14:paraId="2E504A8E" w14:textId="77777777" w:rsidR="00D97782" w:rsidRPr="00702F86" w:rsidRDefault="00D97782" w:rsidP="00D97782">
      <w:pPr>
        <w:pStyle w:val="Default"/>
        <w:jc w:val="center"/>
        <w:rPr>
          <w:sz w:val="22"/>
          <w:szCs w:val="22"/>
        </w:rPr>
      </w:pPr>
      <w:r w:rsidRPr="00702F86">
        <w:rPr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702F86">
        <w:rPr>
          <w:sz w:val="22"/>
          <w:szCs w:val="22"/>
        </w:rPr>
        <w:t xml:space="preserve"> v znení neskorších predpisov medzi</w:t>
      </w:r>
    </w:p>
    <w:p w14:paraId="5948F0B1" w14:textId="77777777" w:rsidR="00D97782" w:rsidRPr="00702F86" w:rsidRDefault="00D97782" w:rsidP="00D97782">
      <w:pPr>
        <w:pStyle w:val="Default"/>
        <w:jc w:val="center"/>
        <w:rPr>
          <w:b/>
          <w:bCs/>
          <w:sz w:val="22"/>
          <w:szCs w:val="22"/>
        </w:rPr>
      </w:pPr>
    </w:p>
    <w:p w14:paraId="5E469E99" w14:textId="77777777" w:rsidR="00D345AF" w:rsidRPr="00702F86" w:rsidRDefault="00D345AF" w:rsidP="00D97782">
      <w:pPr>
        <w:pStyle w:val="Default"/>
        <w:jc w:val="center"/>
        <w:rPr>
          <w:sz w:val="22"/>
          <w:szCs w:val="22"/>
        </w:rPr>
      </w:pPr>
    </w:p>
    <w:p w14:paraId="563F4DCA" w14:textId="77777777" w:rsidR="002A0C7F" w:rsidRPr="00702F86" w:rsidRDefault="002A0C7F" w:rsidP="002A0C7F">
      <w:pPr>
        <w:spacing w:after="0"/>
        <w:ind w:left="2160" w:hanging="2160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  <w:u w:val="single"/>
        </w:rPr>
        <w:t>Prevádzkovateľom základnej služby</w:t>
      </w:r>
      <w:r w:rsidR="00D345AF" w:rsidRPr="00702F86">
        <w:rPr>
          <w:rFonts w:ascii="Times New Roman" w:hAnsi="Times New Roman" w:cs="Times New Roman"/>
        </w:rPr>
        <w:t>:</w:t>
      </w:r>
      <w:r w:rsidRPr="00702F86">
        <w:rPr>
          <w:rFonts w:ascii="Times New Roman" w:hAnsi="Times New Roman" w:cs="Times New Roman"/>
        </w:rPr>
        <w:tab/>
      </w:r>
    </w:p>
    <w:p w14:paraId="55982209" w14:textId="77777777" w:rsidR="002A0C7F" w:rsidRPr="00702F86" w:rsidRDefault="002A0C7F" w:rsidP="002A0C7F">
      <w:pPr>
        <w:spacing w:after="0"/>
        <w:ind w:left="2160" w:hanging="2160"/>
        <w:rPr>
          <w:rFonts w:ascii="Times New Roman" w:hAnsi="Times New Roman" w:cs="Times New Roman"/>
        </w:rPr>
      </w:pPr>
    </w:p>
    <w:p w14:paraId="485EA370" w14:textId="0EBC29CB" w:rsidR="002A0C7F" w:rsidRPr="00702F86" w:rsidRDefault="002A0C7F" w:rsidP="002A0C7F">
      <w:pPr>
        <w:spacing w:after="0"/>
        <w:ind w:left="2160" w:hanging="2160"/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</w:rPr>
        <w:t>Názov: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71B0D64D" w14:textId="639BFE13" w:rsidR="002A0C7F" w:rsidRPr="00702F86" w:rsidRDefault="002A0C7F" w:rsidP="002A0C7F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Sídlo: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281A4747" w14:textId="726F1AFB" w:rsidR="002A0C7F" w:rsidRPr="00702F86" w:rsidRDefault="002A0C7F" w:rsidP="002A0C7F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 xml:space="preserve">IČO: 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132D39A6" w14:textId="2B6B0798" w:rsidR="002A0C7F" w:rsidRPr="00702F86" w:rsidRDefault="002A0C7F" w:rsidP="002A0C7F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DIČ: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49095A63" w14:textId="440F2829" w:rsidR="002A0C7F" w:rsidRPr="00702F86" w:rsidRDefault="002A0C7F" w:rsidP="002A0C7F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IČ DPH: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="00022A64" w:rsidRPr="00702F86">
        <w:rPr>
          <w:rFonts w:ascii="Times New Roman" w:hAnsi="Times New Roman" w:cs="Times New Roman"/>
        </w:rPr>
        <w:tab/>
      </w:r>
    </w:p>
    <w:p w14:paraId="06DD73F1" w14:textId="148493D9" w:rsidR="00D345AF" w:rsidRPr="00702F86" w:rsidRDefault="002A0C7F" w:rsidP="002A0C7F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v mene ktorého koná: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78B58E35" w14:textId="77777777" w:rsidR="005E0EF4" w:rsidRPr="00702F86" w:rsidRDefault="005E0EF4" w:rsidP="002A0C7F">
      <w:pPr>
        <w:spacing w:after="0"/>
        <w:jc w:val="both"/>
        <w:rPr>
          <w:rFonts w:ascii="Times New Roman" w:hAnsi="Times New Roman" w:cs="Times New Roman"/>
        </w:rPr>
      </w:pPr>
    </w:p>
    <w:p w14:paraId="681D8728" w14:textId="3D28B556" w:rsidR="005E0EF4" w:rsidRPr="00702F86" w:rsidRDefault="005E0EF4" w:rsidP="005E0EF4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kontaktná osoba:</w:t>
      </w:r>
      <w:r w:rsidRPr="00702F86">
        <w:rPr>
          <w:rFonts w:ascii="Times New Roman" w:hAnsi="Times New Roman" w:cs="Times New Roman"/>
        </w:rPr>
        <w:tab/>
      </w:r>
      <w:r w:rsidR="00022A64" w:rsidRPr="00702F86">
        <w:rPr>
          <w:rFonts w:ascii="Times New Roman" w:hAnsi="Times New Roman" w:cs="Times New Roman"/>
        </w:rPr>
        <w:tab/>
      </w:r>
    </w:p>
    <w:p w14:paraId="4FD6E5C4" w14:textId="5DC18559" w:rsidR="005E0EF4" w:rsidRPr="00702F86" w:rsidRDefault="00022A64" w:rsidP="005E0EF4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e-mail kontaktnej osoby:</w:t>
      </w:r>
      <w:r w:rsidR="007C0377" w:rsidRPr="00702F86">
        <w:rPr>
          <w:rFonts w:ascii="Times New Roman" w:hAnsi="Times New Roman" w:cs="Times New Roman"/>
        </w:rPr>
        <w:tab/>
      </w:r>
    </w:p>
    <w:p w14:paraId="0239810D" w14:textId="77777777" w:rsidR="005E0EF4" w:rsidRPr="00702F86" w:rsidRDefault="005E0EF4" w:rsidP="002A0C7F">
      <w:pPr>
        <w:spacing w:after="0"/>
        <w:jc w:val="both"/>
        <w:rPr>
          <w:rFonts w:ascii="Times New Roman" w:hAnsi="Times New Roman" w:cs="Times New Roman"/>
        </w:rPr>
      </w:pPr>
    </w:p>
    <w:p w14:paraId="731871F6" w14:textId="77777777" w:rsidR="002959D5" w:rsidRPr="00702F86" w:rsidRDefault="007C0377" w:rsidP="006E3C5A">
      <w:pPr>
        <w:ind w:left="2160" w:hanging="216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 xml:space="preserve"> </w:t>
      </w:r>
      <w:r w:rsidR="002A0C7F" w:rsidRPr="00702F86">
        <w:rPr>
          <w:rFonts w:ascii="Times New Roman" w:hAnsi="Times New Roman" w:cs="Times New Roman"/>
        </w:rPr>
        <w:t>(ďalej</w:t>
      </w:r>
      <w:r w:rsidR="00D345AF" w:rsidRPr="00702F86">
        <w:rPr>
          <w:rFonts w:ascii="Times New Roman" w:hAnsi="Times New Roman" w:cs="Times New Roman"/>
        </w:rPr>
        <w:t xml:space="preserve"> </w:t>
      </w:r>
      <w:r w:rsidR="002A0C7F" w:rsidRPr="00702F86">
        <w:rPr>
          <w:rFonts w:ascii="Times New Roman" w:hAnsi="Times New Roman" w:cs="Times New Roman"/>
        </w:rPr>
        <w:t>aj len ako „</w:t>
      </w:r>
      <w:r w:rsidR="00D345AF" w:rsidRPr="00702F86">
        <w:rPr>
          <w:rFonts w:ascii="Times New Roman" w:hAnsi="Times New Roman" w:cs="Times New Roman"/>
          <w:b/>
          <w:bCs/>
        </w:rPr>
        <w:t>Prevádzkovateľ</w:t>
      </w:r>
      <w:r w:rsidR="00D345AF" w:rsidRPr="00702F86">
        <w:rPr>
          <w:rFonts w:ascii="Times New Roman" w:hAnsi="Times New Roman" w:cs="Times New Roman"/>
        </w:rPr>
        <w:t>“)</w:t>
      </w:r>
    </w:p>
    <w:p w14:paraId="0BD8EAF3" w14:textId="77777777" w:rsidR="00D345AF" w:rsidRPr="00702F86" w:rsidRDefault="00D345AF" w:rsidP="00D345AF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a</w:t>
      </w:r>
    </w:p>
    <w:p w14:paraId="1BBA2B25" w14:textId="77777777" w:rsidR="002959D5" w:rsidRPr="00702F86" w:rsidRDefault="002959D5" w:rsidP="00D345AF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5015ED20" w14:textId="77777777" w:rsidR="002A0C7F" w:rsidRPr="00702F86" w:rsidRDefault="002A0C7F" w:rsidP="00D345AF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  <w:u w:val="single"/>
        </w:rPr>
        <w:t>Dodávateľom</w:t>
      </w:r>
      <w:r w:rsidRPr="00702F86">
        <w:rPr>
          <w:rFonts w:ascii="Times New Roman" w:hAnsi="Times New Roman" w:cs="Times New Roman"/>
        </w:rPr>
        <w:t>:</w:t>
      </w:r>
    </w:p>
    <w:p w14:paraId="7436D7C9" w14:textId="77777777" w:rsidR="009B4BB4" w:rsidRPr="00702F86" w:rsidRDefault="009B4BB4" w:rsidP="00D345AF">
      <w:pPr>
        <w:spacing w:after="0"/>
        <w:jc w:val="both"/>
        <w:rPr>
          <w:rFonts w:ascii="Times New Roman" w:hAnsi="Times New Roman" w:cs="Times New Roman"/>
        </w:rPr>
      </w:pPr>
    </w:p>
    <w:p w14:paraId="77014130" w14:textId="102F2BC2" w:rsidR="009B4BB4" w:rsidRPr="00702F86" w:rsidRDefault="009B4BB4" w:rsidP="008E1AD7">
      <w:pPr>
        <w:spacing w:after="0"/>
        <w:ind w:left="2124" w:firstLine="708"/>
        <w:rPr>
          <w:rFonts w:ascii="Times New Roman" w:hAnsi="Times New Roman" w:cs="Times New Roman"/>
        </w:rPr>
      </w:pPr>
    </w:p>
    <w:p w14:paraId="062EC25B" w14:textId="77777777" w:rsidR="009B4BB4" w:rsidRPr="00702F86" w:rsidRDefault="009B4BB4" w:rsidP="00D345AF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4AE2D089" w14:textId="7CAE7DAD" w:rsidR="00D345AF" w:rsidRPr="00702F86" w:rsidRDefault="002A0C7F" w:rsidP="00D345AF">
      <w:pPr>
        <w:spacing w:after="0"/>
        <w:jc w:val="both"/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</w:rPr>
        <w:t>Obchodné meno: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7A66E970" w14:textId="4D184BA2" w:rsidR="00D345AF" w:rsidRPr="00702F86" w:rsidRDefault="00D345AF" w:rsidP="00425DA7">
      <w:pPr>
        <w:spacing w:after="0"/>
        <w:ind w:left="2832" w:hanging="2832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Sídlo:</w:t>
      </w:r>
      <w:r w:rsidRPr="00702F86">
        <w:rPr>
          <w:rFonts w:ascii="Times New Roman" w:hAnsi="Times New Roman" w:cs="Times New Roman"/>
        </w:rPr>
        <w:tab/>
      </w:r>
    </w:p>
    <w:p w14:paraId="59166D70" w14:textId="381A745F" w:rsidR="002A0C7F" w:rsidRPr="00702F86" w:rsidRDefault="00D345AF" w:rsidP="00015CC8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 xml:space="preserve">IČO: 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330A8D6B" w14:textId="69EF3747" w:rsidR="002A0C7F" w:rsidRPr="00702F86" w:rsidRDefault="002A0C7F" w:rsidP="00BF5465">
      <w:pPr>
        <w:spacing w:after="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v mene ktorého koná: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</w:p>
    <w:p w14:paraId="36E009BA" w14:textId="77777777" w:rsidR="009B4BB4" w:rsidRPr="00702F86" w:rsidRDefault="009B4BB4" w:rsidP="00D345AF">
      <w:pPr>
        <w:spacing w:after="0"/>
        <w:ind w:left="2880" w:hanging="2880"/>
        <w:jc w:val="both"/>
        <w:rPr>
          <w:rFonts w:ascii="Times New Roman" w:hAnsi="Times New Roman" w:cs="Times New Roman"/>
        </w:rPr>
      </w:pPr>
    </w:p>
    <w:p w14:paraId="4DA691E1" w14:textId="77777777" w:rsidR="009B4BB4" w:rsidRPr="00702F86" w:rsidRDefault="009B4BB4" w:rsidP="00D345AF">
      <w:pPr>
        <w:spacing w:after="0"/>
        <w:ind w:left="2880" w:hanging="2880"/>
        <w:jc w:val="both"/>
        <w:rPr>
          <w:rFonts w:ascii="Times New Roman" w:hAnsi="Times New Roman" w:cs="Times New Roman"/>
        </w:rPr>
      </w:pPr>
    </w:p>
    <w:p w14:paraId="0A3748D9" w14:textId="77777777" w:rsidR="00D345AF" w:rsidRPr="00702F86" w:rsidRDefault="00D345AF" w:rsidP="00D345AF">
      <w:pPr>
        <w:spacing w:after="0"/>
        <w:ind w:left="2160" w:hanging="2160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>(ďalej</w:t>
      </w:r>
      <w:r w:rsidR="00DA537A" w:rsidRPr="00702F86">
        <w:rPr>
          <w:rFonts w:ascii="Times New Roman" w:hAnsi="Times New Roman" w:cs="Times New Roman"/>
        </w:rPr>
        <w:t xml:space="preserve"> všetci spoločne</w:t>
      </w:r>
      <w:r w:rsidRPr="00702F86">
        <w:rPr>
          <w:rFonts w:ascii="Times New Roman" w:hAnsi="Times New Roman" w:cs="Times New Roman"/>
        </w:rPr>
        <w:t xml:space="preserve"> </w:t>
      </w:r>
      <w:r w:rsidR="002A0C7F" w:rsidRPr="00702F86">
        <w:rPr>
          <w:rFonts w:ascii="Times New Roman" w:hAnsi="Times New Roman" w:cs="Times New Roman"/>
        </w:rPr>
        <w:t>aj len ako „</w:t>
      </w:r>
      <w:r w:rsidR="002A0C7F" w:rsidRPr="00702F86">
        <w:rPr>
          <w:rFonts w:ascii="Times New Roman" w:hAnsi="Times New Roman" w:cs="Times New Roman"/>
          <w:b/>
          <w:bCs/>
        </w:rPr>
        <w:t>Dodávateľ</w:t>
      </w:r>
      <w:r w:rsidRPr="00702F86">
        <w:rPr>
          <w:rFonts w:ascii="Times New Roman" w:hAnsi="Times New Roman" w:cs="Times New Roman"/>
        </w:rPr>
        <w:t>“)</w:t>
      </w:r>
    </w:p>
    <w:p w14:paraId="05F253B9" w14:textId="77777777" w:rsidR="006E3C5A" w:rsidRPr="00702F86" w:rsidRDefault="006E3C5A" w:rsidP="00D345AF">
      <w:pPr>
        <w:spacing w:after="0"/>
        <w:ind w:left="2160" w:hanging="2160"/>
        <w:jc w:val="both"/>
        <w:rPr>
          <w:rFonts w:ascii="Times New Roman" w:hAnsi="Times New Roman" w:cs="Times New Roman"/>
        </w:rPr>
      </w:pPr>
    </w:p>
    <w:p w14:paraId="3C829E19" w14:textId="77777777" w:rsidR="00D97782" w:rsidRPr="00702F86" w:rsidRDefault="00D97782" w:rsidP="00D97782">
      <w:pPr>
        <w:pStyle w:val="Default"/>
        <w:rPr>
          <w:sz w:val="22"/>
          <w:szCs w:val="22"/>
        </w:rPr>
      </w:pPr>
      <w:r w:rsidRPr="00702F86">
        <w:rPr>
          <w:sz w:val="22"/>
          <w:szCs w:val="22"/>
        </w:rPr>
        <w:t>(</w:t>
      </w:r>
      <w:r w:rsidR="002A0C7F" w:rsidRPr="00702F86">
        <w:rPr>
          <w:sz w:val="22"/>
          <w:szCs w:val="22"/>
        </w:rPr>
        <w:t xml:space="preserve">Prevádzkovateľ a Dodávateľ </w:t>
      </w:r>
      <w:r w:rsidRPr="00702F86">
        <w:rPr>
          <w:sz w:val="22"/>
          <w:szCs w:val="22"/>
        </w:rPr>
        <w:t xml:space="preserve">spolu </w:t>
      </w:r>
      <w:r w:rsidR="002A0C7F" w:rsidRPr="00702F86">
        <w:rPr>
          <w:sz w:val="22"/>
          <w:szCs w:val="22"/>
        </w:rPr>
        <w:t xml:space="preserve">ďalej aj len </w:t>
      </w:r>
      <w:r w:rsidRPr="00702F86">
        <w:rPr>
          <w:sz w:val="22"/>
          <w:szCs w:val="22"/>
        </w:rPr>
        <w:t>ako „</w:t>
      </w:r>
      <w:r w:rsidRPr="00702F86">
        <w:rPr>
          <w:b/>
          <w:bCs/>
          <w:sz w:val="22"/>
          <w:szCs w:val="22"/>
        </w:rPr>
        <w:t>zmluvné strany</w:t>
      </w:r>
      <w:r w:rsidRPr="00702F86">
        <w:rPr>
          <w:sz w:val="22"/>
          <w:szCs w:val="22"/>
        </w:rPr>
        <w:t>“)</w:t>
      </w:r>
    </w:p>
    <w:p w14:paraId="79F80044" w14:textId="77777777" w:rsidR="002959D5" w:rsidRPr="00702F86" w:rsidRDefault="002959D5" w:rsidP="00D97782">
      <w:pPr>
        <w:pStyle w:val="Default"/>
        <w:rPr>
          <w:sz w:val="22"/>
          <w:szCs w:val="22"/>
        </w:rPr>
      </w:pPr>
    </w:p>
    <w:p w14:paraId="3A2F3314" w14:textId="77777777" w:rsidR="007C0377" w:rsidRPr="00702F86" w:rsidRDefault="007C0377" w:rsidP="00D97782">
      <w:pPr>
        <w:pStyle w:val="Default"/>
        <w:rPr>
          <w:sz w:val="22"/>
          <w:szCs w:val="22"/>
        </w:rPr>
      </w:pPr>
    </w:p>
    <w:p w14:paraId="662B8602" w14:textId="77777777" w:rsidR="007C0377" w:rsidRPr="00702F86" w:rsidRDefault="007C0377" w:rsidP="00D97782">
      <w:pPr>
        <w:pStyle w:val="Default"/>
        <w:rPr>
          <w:sz w:val="22"/>
          <w:szCs w:val="22"/>
        </w:rPr>
      </w:pPr>
    </w:p>
    <w:p w14:paraId="2EC0F9CE" w14:textId="77777777" w:rsidR="00D97782" w:rsidRPr="00702F86" w:rsidRDefault="00315DDE" w:rsidP="00D97782">
      <w:pPr>
        <w:pStyle w:val="Default"/>
        <w:jc w:val="center"/>
        <w:rPr>
          <w:b/>
          <w:bCs/>
          <w:sz w:val="22"/>
          <w:szCs w:val="22"/>
        </w:rPr>
      </w:pPr>
      <w:r w:rsidRPr="00702F86">
        <w:rPr>
          <w:b/>
          <w:bCs/>
          <w:sz w:val="22"/>
          <w:szCs w:val="22"/>
        </w:rPr>
        <w:t xml:space="preserve">Článok </w:t>
      </w:r>
      <w:r w:rsidR="00D97782" w:rsidRPr="00702F86">
        <w:rPr>
          <w:b/>
          <w:bCs/>
          <w:sz w:val="22"/>
          <w:szCs w:val="22"/>
        </w:rPr>
        <w:t xml:space="preserve"> I</w:t>
      </w:r>
      <w:r w:rsidRPr="00702F86">
        <w:rPr>
          <w:b/>
          <w:bCs/>
          <w:sz w:val="22"/>
          <w:szCs w:val="22"/>
        </w:rPr>
        <w:t>.</w:t>
      </w:r>
    </w:p>
    <w:p w14:paraId="3C3C3013" w14:textId="77777777" w:rsidR="00D97782" w:rsidRPr="00702F86" w:rsidRDefault="00CC1013" w:rsidP="00D97782">
      <w:pPr>
        <w:pStyle w:val="Default"/>
        <w:jc w:val="center"/>
        <w:rPr>
          <w:b/>
          <w:bCs/>
          <w:sz w:val="22"/>
          <w:szCs w:val="22"/>
        </w:rPr>
      </w:pPr>
      <w:r w:rsidRPr="00702F86">
        <w:rPr>
          <w:b/>
          <w:bCs/>
          <w:sz w:val="22"/>
          <w:szCs w:val="22"/>
        </w:rPr>
        <w:t>Úvodné ustanovenia a vyhlásenia</w:t>
      </w:r>
    </w:p>
    <w:p w14:paraId="6C0D1361" w14:textId="77777777" w:rsidR="00D97782" w:rsidRPr="00702F86" w:rsidRDefault="00D97782" w:rsidP="00D97782">
      <w:pPr>
        <w:pStyle w:val="Default"/>
        <w:jc w:val="center"/>
        <w:rPr>
          <w:sz w:val="22"/>
          <w:szCs w:val="22"/>
        </w:rPr>
      </w:pPr>
    </w:p>
    <w:p w14:paraId="4CAD5F35" w14:textId="619E9D1C" w:rsidR="000B1CAE" w:rsidRPr="00702F86" w:rsidRDefault="000B1CAE" w:rsidP="00C81B25">
      <w:pPr>
        <w:pStyle w:val="Default"/>
        <w:numPr>
          <w:ilvl w:val="0"/>
          <w:numId w:val="30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Prevádzkovateľ ako objednávateľ uzavrel s Dodávateľom ako </w:t>
      </w:r>
      <w:r w:rsidR="00C81B25" w:rsidRPr="00702F86">
        <w:rPr>
          <w:color w:val="auto"/>
          <w:sz w:val="22"/>
          <w:szCs w:val="22"/>
        </w:rPr>
        <w:t>poskytovateľom</w:t>
      </w:r>
      <w:r w:rsidRPr="00702F86">
        <w:rPr>
          <w:color w:val="auto"/>
          <w:sz w:val="22"/>
          <w:szCs w:val="22"/>
        </w:rPr>
        <w:t xml:space="preserve"> </w:t>
      </w:r>
      <w:r w:rsidR="00E437EF" w:rsidRPr="00702F86">
        <w:rPr>
          <w:color w:val="auto"/>
          <w:sz w:val="22"/>
          <w:szCs w:val="22"/>
        </w:rPr>
        <w:t xml:space="preserve">Zmluvu o poskytovaní podporných služieb – </w:t>
      </w:r>
      <w:proofErr w:type="spellStart"/>
      <w:r w:rsidR="00E437EF" w:rsidRPr="00702F86">
        <w:rPr>
          <w:color w:val="auto"/>
          <w:sz w:val="22"/>
          <w:szCs w:val="22"/>
        </w:rPr>
        <w:t>Underpinningcontract</w:t>
      </w:r>
      <w:proofErr w:type="spellEnd"/>
      <w:r w:rsidR="00E437EF" w:rsidRPr="00702F86">
        <w:rPr>
          <w:color w:val="auto"/>
          <w:sz w:val="22"/>
          <w:szCs w:val="22"/>
        </w:rPr>
        <w:t xml:space="preserve"> pre zabezpečenie prevádzky Informačného systému IS </w:t>
      </w:r>
      <w:r w:rsidR="00E141B7" w:rsidRPr="00702F86">
        <w:rPr>
          <w:color w:val="auto"/>
          <w:sz w:val="22"/>
          <w:szCs w:val="22"/>
        </w:rPr>
        <w:t xml:space="preserve">UVZ </w:t>
      </w:r>
      <w:r w:rsidR="00E437EF" w:rsidRPr="00702F86">
        <w:rPr>
          <w:color w:val="auto"/>
          <w:sz w:val="22"/>
          <w:szCs w:val="22"/>
        </w:rPr>
        <w:t xml:space="preserve">na základe dohodnutých cieľových úrovní podporných </w:t>
      </w:r>
      <w:r w:rsidR="00E437EF" w:rsidRPr="00702F86">
        <w:rPr>
          <w:sz w:val="22"/>
          <w:szCs w:val="22"/>
        </w:rPr>
        <w:t>služieb</w:t>
      </w:r>
      <w:r w:rsidR="00E437EF" w:rsidRPr="00702F86">
        <w:rPr>
          <w:color w:val="auto"/>
          <w:sz w:val="22"/>
          <w:szCs w:val="22"/>
        </w:rPr>
        <w:t xml:space="preserve"> </w:t>
      </w:r>
      <w:r w:rsidR="00DA537A" w:rsidRPr="00702F86">
        <w:rPr>
          <w:color w:val="auto"/>
          <w:sz w:val="22"/>
          <w:szCs w:val="22"/>
        </w:rPr>
        <w:t xml:space="preserve">zo dňa </w:t>
      </w:r>
      <w:r w:rsidR="00E141B7" w:rsidRPr="00702F86">
        <w:rPr>
          <w:color w:val="auto"/>
          <w:sz w:val="22"/>
          <w:szCs w:val="22"/>
        </w:rPr>
        <w:t>XXX,</w:t>
      </w:r>
      <w:r w:rsidR="00E437EF" w:rsidRPr="00702F86">
        <w:rPr>
          <w:color w:val="auto"/>
          <w:sz w:val="22"/>
          <w:szCs w:val="22"/>
        </w:rPr>
        <w:t xml:space="preserve"> v znení </w:t>
      </w:r>
      <w:r w:rsidR="00425BCC" w:rsidRPr="00702F86">
        <w:rPr>
          <w:color w:val="auto"/>
          <w:sz w:val="22"/>
          <w:szCs w:val="22"/>
        </w:rPr>
        <w:t xml:space="preserve"> neskorších dodatkov</w:t>
      </w:r>
      <w:r w:rsidR="00B23AAD" w:rsidRPr="00702F86">
        <w:rPr>
          <w:color w:val="auto"/>
          <w:sz w:val="22"/>
          <w:szCs w:val="22"/>
        </w:rPr>
        <w:t xml:space="preserve"> (ďalej aj len ako „</w:t>
      </w:r>
      <w:r w:rsidR="00B23AAD" w:rsidRPr="00702F86">
        <w:rPr>
          <w:b/>
          <w:color w:val="auto"/>
          <w:sz w:val="22"/>
          <w:szCs w:val="22"/>
        </w:rPr>
        <w:t>dodávateľská zmluva</w:t>
      </w:r>
      <w:r w:rsidR="00B23AAD" w:rsidRPr="00702F86">
        <w:rPr>
          <w:color w:val="auto"/>
          <w:sz w:val="22"/>
          <w:szCs w:val="22"/>
        </w:rPr>
        <w:t>“)</w:t>
      </w:r>
      <w:r w:rsidRPr="00702F86">
        <w:rPr>
          <w:color w:val="auto"/>
          <w:sz w:val="22"/>
          <w:szCs w:val="22"/>
        </w:rPr>
        <w:t>.</w:t>
      </w:r>
    </w:p>
    <w:p w14:paraId="322A4E8B" w14:textId="77777777" w:rsidR="000B1CAE" w:rsidRPr="00702F86" w:rsidRDefault="000B1CAE" w:rsidP="002E2D24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1C13FF9E" w14:textId="77777777" w:rsidR="00D97782" w:rsidRPr="00702F86" w:rsidRDefault="00D97782" w:rsidP="003523B7">
      <w:pPr>
        <w:pStyle w:val="Default"/>
        <w:numPr>
          <w:ilvl w:val="0"/>
          <w:numId w:val="30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sz w:val="22"/>
          <w:szCs w:val="22"/>
        </w:rPr>
        <w:t xml:space="preserve">Prevádzkovateľ je podľa § 3 písm. </w:t>
      </w:r>
      <w:r w:rsidR="000B1CAE" w:rsidRPr="00702F86">
        <w:rPr>
          <w:sz w:val="22"/>
          <w:szCs w:val="22"/>
        </w:rPr>
        <w:t>m</w:t>
      </w:r>
      <w:r w:rsidRPr="00702F86">
        <w:rPr>
          <w:sz w:val="22"/>
          <w:szCs w:val="22"/>
        </w:rPr>
        <w:t>) zákona č. 69/2018 Z. z. o kybernetickej bezpečnosti a o zmene a doplnení niektorých zákonov</w:t>
      </w:r>
      <w:r w:rsidR="00217A4C" w:rsidRPr="00702F86">
        <w:rPr>
          <w:sz w:val="22"/>
          <w:szCs w:val="22"/>
        </w:rPr>
        <w:t xml:space="preserve"> v znení neskorších predpisov</w:t>
      </w:r>
      <w:r w:rsidRPr="00702F86">
        <w:rPr>
          <w:sz w:val="22"/>
          <w:szCs w:val="22"/>
        </w:rPr>
        <w:t xml:space="preserve"> (ďalej len „</w:t>
      </w:r>
      <w:r w:rsidR="00CC1013" w:rsidRPr="00702F86">
        <w:rPr>
          <w:b/>
          <w:bCs/>
          <w:sz w:val="22"/>
          <w:szCs w:val="22"/>
        </w:rPr>
        <w:t>zákon o kybernetickej bezpečnosti</w:t>
      </w:r>
      <w:r w:rsidRPr="00702F86">
        <w:rPr>
          <w:sz w:val="22"/>
          <w:szCs w:val="22"/>
        </w:rPr>
        <w:t xml:space="preserve">“) </w:t>
      </w:r>
      <w:r w:rsidR="0003217F" w:rsidRPr="00702F86">
        <w:rPr>
          <w:sz w:val="22"/>
          <w:szCs w:val="22"/>
        </w:rPr>
        <w:t>p</w:t>
      </w:r>
      <w:r w:rsidR="00D345AF" w:rsidRPr="00702F86">
        <w:rPr>
          <w:sz w:val="22"/>
          <w:szCs w:val="22"/>
        </w:rPr>
        <w:t>revádzkovateľ</w:t>
      </w:r>
      <w:r w:rsidRPr="00702F86">
        <w:rPr>
          <w:sz w:val="22"/>
          <w:szCs w:val="22"/>
        </w:rPr>
        <w:t xml:space="preserve">om základnej služby podľa § 3 písm. </w:t>
      </w:r>
      <w:r w:rsidR="000B1CAE" w:rsidRPr="00702F86">
        <w:rPr>
          <w:sz w:val="22"/>
          <w:szCs w:val="22"/>
        </w:rPr>
        <w:t>l</w:t>
      </w:r>
      <w:r w:rsidRPr="00702F86">
        <w:rPr>
          <w:sz w:val="22"/>
          <w:szCs w:val="22"/>
        </w:rPr>
        <w:t xml:space="preserve">) </w:t>
      </w:r>
      <w:r w:rsidR="00CC1013" w:rsidRPr="00702F86">
        <w:rPr>
          <w:bCs/>
          <w:sz w:val="22"/>
          <w:szCs w:val="22"/>
        </w:rPr>
        <w:t>zákona o kybernetickej bezpečnosti</w:t>
      </w:r>
      <w:r w:rsidR="00217A4C" w:rsidRPr="00702F86">
        <w:rPr>
          <w:sz w:val="22"/>
          <w:szCs w:val="22"/>
        </w:rPr>
        <w:t>.</w:t>
      </w:r>
      <w:r w:rsidRPr="00702F86">
        <w:rPr>
          <w:sz w:val="22"/>
          <w:szCs w:val="22"/>
        </w:rPr>
        <w:t xml:space="preserve"> </w:t>
      </w:r>
      <w:r w:rsidR="00217A4C" w:rsidRPr="00702F86">
        <w:rPr>
          <w:sz w:val="22"/>
          <w:szCs w:val="22"/>
        </w:rPr>
        <w:t>Dodávateľ</w:t>
      </w:r>
      <w:r w:rsidRPr="00702F86">
        <w:rPr>
          <w:sz w:val="22"/>
          <w:szCs w:val="22"/>
        </w:rPr>
        <w:t xml:space="preserve"> je </w:t>
      </w:r>
      <w:r w:rsidR="004555B8" w:rsidRPr="00702F86">
        <w:rPr>
          <w:sz w:val="22"/>
          <w:szCs w:val="22"/>
        </w:rPr>
        <w:t xml:space="preserve">s poukazom na </w:t>
      </w:r>
      <w:r w:rsidRPr="00702F86">
        <w:rPr>
          <w:sz w:val="22"/>
          <w:szCs w:val="22"/>
        </w:rPr>
        <w:t xml:space="preserve">§ 19 ods. </w:t>
      </w:r>
      <w:r w:rsidR="003D7A8D" w:rsidRPr="00702F86">
        <w:rPr>
          <w:sz w:val="22"/>
          <w:szCs w:val="22"/>
        </w:rPr>
        <w:t xml:space="preserve">2 </w:t>
      </w:r>
      <w:r w:rsidR="00CC1013" w:rsidRPr="00702F86">
        <w:rPr>
          <w:bCs/>
          <w:sz w:val="22"/>
          <w:szCs w:val="22"/>
        </w:rPr>
        <w:t>zákona o kybernetickej bezpečnosti</w:t>
      </w:r>
      <w:r w:rsidR="00CC1013" w:rsidRPr="00702F86">
        <w:rPr>
          <w:sz w:val="22"/>
          <w:szCs w:val="22"/>
        </w:rPr>
        <w:t xml:space="preserve"> </w:t>
      </w:r>
      <w:r w:rsidR="00217A4C" w:rsidRPr="00702F86">
        <w:rPr>
          <w:sz w:val="22"/>
          <w:szCs w:val="22"/>
        </w:rPr>
        <w:t>dodávateľom</w:t>
      </w:r>
      <w:r w:rsidR="003D7A8D" w:rsidRPr="00702F86">
        <w:rPr>
          <w:sz w:val="22"/>
          <w:szCs w:val="22"/>
        </w:rPr>
        <w:t xml:space="preserve"> </w:t>
      </w:r>
      <w:r w:rsidR="000B1CAE" w:rsidRPr="00702F86">
        <w:rPr>
          <w:sz w:val="22"/>
          <w:szCs w:val="22"/>
        </w:rPr>
        <w:t>služieb</w:t>
      </w:r>
      <w:r w:rsidR="00217A4C" w:rsidRPr="00702F86">
        <w:rPr>
          <w:sz w:val="22"/>
          <w:szCs w:val="22"/>
        </w:rPr>
        <w:t>, ktor</w:t>
      </w:r>
      <w:r w:rsidR="000B1CAE" w:rsidRPr="00702F86">
        <w:rPr>
          <w:sz w:val="22"/>
          <w:szCs w:val="22"/>
        </w:rPr>
        <w:t>é</w:t>
      </w:r>
      <w:r w:rsidR="00217A4C" w:rsidRPr="00702F86">
        <w:rPr>
          <w:sz w:val="22"/>
          <w:szCs w:val="22"/>
        </w:rPr>
        <w:t xml:space="preserve"> priamo súvis</w:t>
      </w:r>
      <w:r w:rsidR="000B1CAE" w:rsidRPr="00702F86">
        <w:rPr>
          <w:sz w:val="22"/>
          <w:szCs w:val="22"/>
        </w:rPr>
        <w:t>ia</w:t>
      </w:r>
      <w:r w:rsidR="00217A4C" w:rsidRPr="00702F86">
        <w:rPr>
          <w:sz w:val="22"/>
          <w:szCs w:val="22"/>
        </w:rPr>
        <w:t xml:space="preserve"> </w:t>
      </w:r>
      <w:r w:rsidR="000B1CAE" w:rsidRPr="00702F86">
        <w:rPr>
          <w:sz w:val="22"/>
          <w:szCs w:val="22"/>
        </w:rPr>
        <w:t>s dostupnosťou, dôvernosťou a integritou prevádzky sietí a informačných systémov</w:t>
      </w:r>
      <w:r w:rsidR="00217A4C" w:rsidRPr="00702F86">
        <w:rPr>
          <w:sz w:val="22"/>
          <w:szCs w:val="22"/>
        </w:rPr>
        <w:t xml:space="preserve"> pre </w:t>
      </w:r>
      <w:r w:rsidR="00B23AAD" w:rsidRPr="00702F86">
        <w:rPr>
          <w:sz w:val="22"/>
          <w:szCs w:val="22"/>
        </w:rPr>
        <w:t>P</w:t>
      </w:r>
      <w:r w:rsidR="00217A4C" w:rsidRPr="00702F86">
        <w:rPr>
          <w:sz w:val="22"/>
          <w:szCs w:val="22"/>
        </w:rPr>
        <w:t xml:space="preserve">revádzkovateľa </w:t>
      </w:r>
      <w:r w:rsidR="00B23AAD" w:rsidRPr="00702F86">
        <w:rPr>
          <w:sz w:val="22"/>
          <w:szCs w:val="22"/>
        </w:rPr>
        <w:t xml:space="preserve">ako prevádzkovateľa </w:t>
      </w:r>
      <w:r w:rsidR="00217A4C" w:rsidRPr="00702F86">
        <w:rPr>
          <w:sz w:val="22"/>
          <w:szCs w:val="22"/>
        </w:rPr>
        <w:t>základnej služby</w:t>
      </w:r>
      <w:r w:rsidRPr="00702F86">
        <w:rPr>
          <w:color w:val="auto"/>
          <w:sz w:val="22"/>
          <w:szCs w:val="22"/>
        </w:rPr>
        <w:t>.</w:t>
      </w:r>
    </w:p>
    <w:p w14:paraId="46421110" w14:textId="77777777" w:rsidR="00D97782" w:rsidRPr="00702F86" w:rsidRDefault="00D97782" w:rsidP="003523B7">
      <w:pPr>
        <w:pStyle w:val="Default"/>
        <w:ind w:left="567" w:hanging="567"/>
        <w:jc w:val="both"/>
        <w:rPr>
          <w:sz w:val="22"/>
          <w:szCs w:val="22"/>
        </w:rPr>
      </w:pPr>
    </w:p>
    <w:p w14:paraId="6F956348" w14:textId="77777777" w:rsidR="00D97782" w:rsidRPr="00702F86" w:rsidRDefault="00D97782" w:rsidP="003523B7">
      <w:pPr>
        <w:pStyle w:val="Default"/>
        <w:numPr>
          <w:ilvl w:val="0"/>
          <w:numId w:val="30"/>
        </w:numPr>
        <w:ind w:left="567" w:hanging="567"/>
        <w:jc w:val="both"/>
        <w:rPr>
          <w:sz w:val="22"/>
          <w:szCs w:val="22"/>
        </w:rPr>
      </w:pPr>
      <w:r w:rsidRPr="00702F86">
        <w:rPr>
          <w:sz w:val="22"/>
          <w:szCs w:val="22"/>
        </w:rPr>
        <w:t xml:space="preserve">Za účelom plnenia bezpečnostných opatrení a notifikačných povinností v súlade s § 19 ods. 2 </w:t>
      </w:r>
      <w:r w:rsidR="0034702D" w:rsidRPr="00702F86">
        <w:rPr>
          <w:sz w:val="22"/>
          <w:szCs w:val="22"/>
        </w:rPr>
        <w:t xml:space="preserve"> </w:t>
      </w:r>
      <w:r w:rsidR="00CC1013" w:rsidRPr="00702F86">
        <w:rPr>
          <w:bCs/>
          <w:sz w:val="22"/>
          <w:szCs w:val="22"/>
        </w:rPr>
        <w:t>zákona o kybernetickej bezpečnosti</w:t>
      </w:r>
      <w:r w:rsidR="00CC1013" w:rsidRPr="00702F86">
        <w:rPr>
          <w:sz w:val="22"/>
          <w:szCs w:val="22"/>
        </w:rPr>
        <w:t xml:space="preserve"> </w:t>
      </w:r>
      <w:r w:rsidRPr="00702F86">
        <w:rPr>
          <w:sz w:val="22"/>
          <w:szCs w:val="22"/>
        </w:rPr>
        <w:t xml:space="preserve">a § 8 vyhlášky Národného bezpečnostného úradu č. 362/2018 Z. z., ktorou </w:t>
      </w:r>
      <w:r w:rsidRPr="00702F86">
        <w:rPr>
          <w:sz w:val="22"/>
          <w:szCs w:val="22"/>
        </w:rPr>
        <w:lastRenderedPageBreak/>
        <w:t>sa ustanovuje obsah bezpečnostných opatrení, obsah a štruktúra bezpečnostnej dokumentácie a rozsah všeobecných bezpečnostných opatrení (ďalej len „</w:t>
      </w:r>
      <w:r w:rsidR="00CC1013" w:rsidRPr="00702F86">
        <w:rPr>
          <w:b/>
          <w:bCs/>
          <w:sz w:val="22"/>
          <w:szCs w:val="22"/>
        </w:rPr>
        <w:t>v</w:t>
      </w:r>
      <w:r w:rsidRPr="00702F86">
        <w:rPr>
          <w:b/>
          <w:bCs/>
          <w:sz w:val="22"/>
          <w:szCs w:val="22"/>
        </w:rPr>
        <w:t>yhláška</w:t>
      </w:r>
      <w:r w:rsidR="00CB2720" w:rsidRPr="00702F86">
        <w:rPr>
          <w:b/>
          <w:bCs/>
          <w:sz w:val="22"/>
          <w:szCs w:val="22"/>
        </w:rPr>
        <w:t xml:space="preserve"> OBO</w:t>
      </w:r>
      <w:r w:rsidRPr="00702F86">
        <w:rPr>
          <w:sz w:val="22"/>
          <w:szCs w:val="22"/>
        </w:rPr>
        <w:t>“)</w:t>
      </w:r>
      <w:r w:rsidR="00294C4D" w:rsidRPr="00702F86">
        <w:rPr>
          <w:sz w:val="22"/>
          <w:szCs w:val="22"/>
        </w:rPr>
        <w:t>,</w:t>
      </w:r>
      <w:r w:rsidRPr="00702F86">
        <w:rPr>
          <w:sz w:val="22"/>
          <w:szCs w:val="22"/>
        </w:rPr>
        <w:t xml:space="preserve"> zmluvné strany</w:t>
      </w:r>
      <w:r w:rsidR="00D10FEE" w:rsidRPr="00702F86">
        <w:rPr>
          <w:sz w:val="22"/>
          <w:szCs w:val="22"/>
        </w:rPr>
        <w:t xml:space="preserve"> </w:t>
      </w:r>
      <w:r w:rsidRPr="00702F86">
        <w:rPr>
          <w:sz w:val="22"/>
          <w:szCs w:val="22"/>
        </w:rPr>
        <w:t xml:space="preserve">uzatvárajú </w:t>
      </w:r>
      <w:r w:rsidR="00217A4C" w:rsidRPr="00702F86">
        <w:rPr>
          <w:sz w:val="22"/>
          <w:szCs w:val="22"/>
        </w:rPr>
        <w:t>túto Z</w:t>
      </w:r>
      <w:r w:rsidRPr="00702F86">
        <w:rPr>
          <w:sz w:val="22"/>
          <w:szCs w:val="22"/>
        </w:rPr>
        <w:t>mluvu o zabezpečení plnenia bezpečnostných opatrení a notifikačných povinností (ďalej len „</w:t>
      </w:r>
      <w:r w:rsidRPr="00702F86">
        <w:rPr>
          <w:b/>
          <w:bCs/>
          <w:sz w:val="22"/>
          <w:szCs w:val="22"/>
        </w:rPr>
        <w:t>zmluva</w:t>
      </w:r>
      <w:r w:rsidRPr="00702F86">
        <w:rPr>
          <w:sz w:val="22"/>
          <w:szCs w:val="22"/>
        </w:rPr>
        <w:t>“)</w:t>
      </w:r>
      <w:r w:rsidR="00294C4D" w:rsidRPr="00702F86">
        <w:rPr>
          <w:sz w:val="22"/>
          <w:szCs w:val="22"/>
        </w:rPr>
        <w:t xml:space="preserve">; pri uzatvorení zmluvy sa vykonáva analýza </w:t>
      </w:r>
      <w:r w:rsidR="002F109F" w:rsidRPr="00702F86">
        <w:rPr>
          <w:sz w:val="22"/>
          <w:szCs w:val="22"/>
        </w:rPr>
        <w:t>dodávateľských</w:t>
      </w:r>
      <w:r w:rsidR="005A5081" w:rsidRPr="00702F86">
        <w:rPr>
          <w:sz w:val="22"/>
          <w:szCs w:val="22"/>
        </w:rPr>
        <w:t xml:space="preserve"> </w:t>
      </w:r>
      <w:r w:rsidR="00294C4D" w:rsidRPr="00702F86">
        <w:rPr>
          <w:sz w:val="22"/>
          <w:szCs w:val="22"/>
        </w:rPr>
        <w:t>rizík</w:t>
      </w:r>
      <w:r w:rsidR="005A5081" w:rsidRPr="00702F86">
        <w:rPr>
          <w:sz w:val="22"/>
          <w:szCs w:val="22"/>
        </w:rPr>
        <w:t xml:space="preserve"> prevádzkovateľom</w:t>
      </w:r>
      <w:r w:rsidRPr="00702F86">
        <w:rPr>
          <w:sz w:val="22"/>
          <w:szCs w:val="22"/>
        </w:rPr>
        <w:t>.</w:t>
      </w:r>
    </w:p>
    <w:p w14:paraId="510EC481" w14:textId="77777777" w:rsidR="00217A4C" w:rsidRPr="00702F86" w:rsidRDefault="00217A4C" w:rsidP="003523B7">
      <w:pPr>
        <w:pStyle w:val="Default"/>
        <w:ind w:left="567" w:hanging="567"/>
        <w:jc w:val="both"/>
        <w:rPr>
          <w:sz w:val="22"/>
          <w:szCs w:val="22"/>
        </w:rPr>
      </w:pPr>
    </w:p>
    <w:p w14:paraId="3E9572BD" w14:textId="77777777" w:rsidR="00217A4C" w:rsidRPr="00702F86" w:rsidRDefault="00217A4C" w:rsidP="003523B7">
      <w:pPr>
        <w:pStyle w:val="Default"/>
        <w:numPr>
          <w:ilvl w:val="0"/>
          <w:numId w:val="30"/>
        </w:numPr>
        <w:ind w:left="567" w:hanging="567"/>
        <w:jc w:val="both"/>
        <w:rPr>
          <w:sz w:val="22"/>
          <w:szCs w:val="22"/>
        </w:rPr>
      </w:pPr>
      <w:r w:rsidRPr="00702F86">
        <w:rPr>
          <w:sz w:val="22"/>
          <w:szCs w:val="22"/>
        </w:rPr>
        <w:t xml:space="preserve">Zmluvné strany uzatvárajú túto zmluvu v nadväznosti na </w:t>
      </w:r>
      <w:r w:rsidR="00B23AAD" w:rsidRPr="00702F86">
        <w:rPr>
          <w:bCs/>
          <w:sz w:val="22"/>
          <w:szCs w:val="22"/>
        </w:rPr>
        <w:t>dodávateľskú zmluvu,</w:t>
      </w:r>
      <w:r w:rsidR="00287EF9" w:rsidRPr="00702F86">
        <w:rPr>
          <w:sz w:val="22"/>
          <w:szCs w:val="22"/>
        </w:rPr>
        <w:t xml:space="preserve"> na základe ktorej Dodávateľ bude poskytovať Prevádzkovateľovi </w:t>
      </w:r>
      <w:r w:rsidR="00B23AAD" w:rsidRPr="00702F86">
        <w:rPr>
          <w:sz w:val="22"/>
          <w:szCs w:val="22"/>
        </w:rPr>
        <w:t>služby (činnosti)</w:t>
      </w:r>
      <w:r w:rsidR="00287EF9" w:rsidRPr="00702F86">
        <w:rPr>
          <w:sz w:val="22"/>
          <w:szCs w:val="22"/>
        </w:rPr>
        <w:t xml:space="preserve">, </w:t>
      </w:r>
      <w:r w:rsidR="00B23AAD" w:rsidRPr="00702F86">
        <w:rPr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00287EF9" w:rsidRPr="00702F86">
        <w:rPr>
          <w:sz w:val="22"/>
          <w:szCs w:val="22"/>
        </w:rPr>
        <w:t>.</w:t>
      </w:r>
    </w:p>
    <w:p w14:paraId="1A2674CE" w14:textId="77777777" w:rsidR="008A57DA" w:rsidRPr="00702F86" w:rsidRDefault="008A57DA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05BD482" w14:textId="77777777" w:rsidR="00D97782" w:rsidRPr="00702F86" w:rsidRDefault="00315DDE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I</w:t>
      </w:r>
      <w:r w:rsidR="0093664F" w:rsidRPr="00702F86">
        <w:rPr>
          <w:b/>
          <w:bCs/>
          <w:color w:val="auto"/>
          <w:sz w:val="22"/>
          <w:szCs w:val="22"/>
        </w:rPr>
        <w:t>I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6DF4589D" w14:textId="77777777" w:rsidR="00D97782" w:rsidRPr="00702F86" w:rsidRDefault="008D4080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P</w:t>
      </w:r>
      <w:r w:rsidR="00D97782" w:rsidRPr="00702F86">
        <w:rPr>
          <w:b/>
          <w:bCs/>
          <w:color w:val="auto"/>
          <w:sz w:val="22"/>
          <w:szCs w:val="22"/>
        </w:rPr>
        <w:t>redmet zmluvy</w:t>
      </w:r>
    </w:p>
    <w:p w14:paraId="51F8739F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43788CE1" w14:textId="77777777" w:rsidR="006E64A0" w:rsidRPr="00702F86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Predmetom</w:t>
      </w:r>
      <w:r w:rsidR="006E64A0" w:rsidRPr="00702F86">
        <w:rPr>
          <w:color w:val="auto"/>
          <w:sz w:val="22"/>
          <w:szCs w:val="22"/>
        </w:rPr>
        <w:t xml:space="preserve"> tejto zmluvy je stanovenie základných úloh a princípov spolupráce zmluvných strán</w:t>
      </w:r>
      <w:r w:rsidRPr="00702F86">
        <w:rPr>
          <w:color w:val="auto"/>
          <w:sz w:val="22"/>
          <w:szCs w:val="22"/>
        </w:rPr>
        <w:t xml:space="preserve"> a ich práv a povinností pri </w:t>
      </w:r>
      <w:r w:rsidRPr="00702F86">
        <w:rPr>
          <w:bCs/>
          <w:color w:val="auto"/>
          <w:sz w:val="22"/>
          <w:szCs w:val="22"/>
        </w:rPr>
        <w:t>plnení bezpečnostných opatrení a notifikačných povinností</w:t>
      </w:r>
      <w:r w:rsidRPr="00702F86">
        <w:rPr>
          <w:color w:val="auto"/>
          <w:sz w:val="22"/>
          <w:szCs w:val="22"/>
        </w:rPr>
        <w:t xml:space="preserve"> realizovaných v nadväznosti na dodávateľskú zmluvu, a to</w:t>
      </w:r>
      <w:r w:rsidR="006E64A0" w:rsidRPr="00702F86">
        <w:rPr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00702F86">
        <w:rPr>
          <w:color w:val="auto"/>
          <w:sz w:val="22"/>
          <w:szCs w:val="22"/>
        </w:rPr>
        <w:t xml:space="preserve">dodávateľskej </w:t>
      </w:r>
      <w:r w:rsidR="006E64A0" w:rsidRPr="00702F86">
        <w:rPr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</w:t>
      </w:r>
    </w:p>
    <w:p w14:paraId="02C15FB8" w14:textId="77777777" w:rsidR="001A4B3D" w:rsidRPr="00702F86" w:rsidRDefault="001A4B3D" w:rsidP="003523B7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4F81D05D" w14:textId="77777777" w:rsidR="001A4B3D" w:rsidRPr="00702F86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 účely tejto zmluvy sa za </w:t>
      </w:r>
      <w:r w:rsidR="0079784C" w:rsidRPr="00702F86">
        <w:rPr>
          <w:color w:val="auto"/>
          <w:sz w:val="22"/>
          <w:szCs w:val="22"/>
        </w:rPr>
        <w:t xml:space="preserve">kybernetický </w:t>
      </w:r>
      <w:r w:rsidRPr="00702F86">
        <w:rPr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 w:rsidRPr="00702F86">
        <w:rPr>
          <w:color w:val="auto"/>
          <w:sz w:val="22"/>
          <w:szCs w:val="22"/>
        </w:rPr>
        <w:t xml:space="preserve">bezpečnostná </w:t>
      </w:r>
      <w:r w:rsidRPr="00702F86">
        <w:rPr>
          <w:color w:val="auto"/>
          <w:sz w:val="22"/>
          <w:szCs w:val="22"/>
        </w:rPr>
        <w:t>udalosť:</w:t>
      </w:r>
    </w:p>
    <w:p w14:paraId="4223544F" w14:textId="77777777" w:rsidR="001A4B3D" w:rsidRPr="00702F86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 xml:space="preserve">ktorú zistí alebo o ktorej sa dozvie </w:t>
      </w:r>
      <w:r w:rsidR="00217A4C" w:rsidRPr="00702F86">
        <w:rPr>
          <w:rFonts w:ascii="Times New Roman" w:hAnsi="Times New Roman" w:cs="Times New Roman"/>
          <w:lang w:val="sk-SK"/>
        </w:rPr>
        <w:t>Dodávateľ</w:t>
      </w:r>
      <w:r w:rsidRPr="00702F86">
        <w:rPr>
          <w:rFonts w:ascii="Times New Roman" w:hAnsi="Times New Roman" w:cs="Times New Roman"/>
          <w:lang w:val="sk-SK"/>
        </w:rPr>
        <w:t>,</w:t>
      </w:r>
    </w:p>
    <w:p w14:paraId="606620FB" w14:textId="77777777" w:rsidR="001A4B3D" w:rsidRPr="00702F86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>ktorá sa týka informačných systémov alebo sie</w:t>
      </w:r>
      <w:r w:rsidR="00312609" w:rsidRPr="00702F86">
        <w:rPr>
          <w:rFonts w:ascii="Times New Roman" w:hAnsi="Times New Roman" w:cs="Times New Roman"/>
          <w:lang w:val="sk-SK"/>
        </w:rPr>
        <w:t>tí</w:t>
      </w:r>
      <w:r w:rsidRPr="00702F86">
        <w:rPr>
          <w:rFonts w:ascii="Times New Roman" w:hAnsi="Times New Roman" w:cs="Times New Roman"/>
          <w:lang w:val="sk-SK"/>
        </w:rPr>
        <w:t xml:space="preserve"> </w:t>
      </w:r>
      <w:r w:rsidR="00AE568A" w:rsidRPr="00702F86">
        <w:rPr>
          <w:rFonts w:ascii="Times New Roman" w:hAnsi="Times New Roman" w:cs="Times New Roman"/>
          <w:lang w:val="sk-SK"/>
        </w:rPr>
        <w:t xml:space="preserve">vo vzťahu ku ktorým </w:t>
      </w:r>
      <w:r w:rsidR="00217A4C" w:rsidRPr="00702F86">
        <w:rPr>
          <w:rFonts w:ascii="Times New Roman" w:hAnsi="Times New Roman" w:cs="Times New Roman"/>
          <w:lang w:val="sk-SK"/>
        </w:rPr>
        <w:t>Dodávateľ</w:t>
      </w:r>
      <w:r w:rsidR="00AE568A" w:rsidRPr="00702F86">
        <w:rPr>
          <w:rFonts w:ascii="Times New Roman" w:hAnsi="Times New Roman" w:cs="Times New Roman"/>
          <w:lang w:val="sk-SK"/>
        </w:rPr>
        <w:t xml:space="preserve"> poskytuje výkon činností podľa </w:t>
      </w:r>
      <w:r w:rsidR="008D4080" w:rsidRPr="00702F86">
        <w:rPr>
          <w:rFonts w:ascii="Times New Roman" w:hAnsi="Times New Roman" w:cs="Times New Roman"/>
          <w:lang w:val="sk-SK"/>
        </w:rPr>
        <w:t>dodávateľskej zmluvy</w:t>
      </w:r>
      <w:r w:rsidR="00AE568A" w:rsidRPr="00702F86">
        <w:rPr>
          <w:rFonts w:ascii="Times New Roman" w:hAnsi="Times New Roman" w:cs="Times New Roman"/>
          <w:lang w:val="sk-SK"/>
        </w:rPr>
        <w:t xml:space="preserve">, </w:t>
      </w:r>
      <w:r w:rsidRPr="00702F86">
        <w:rPr>
          <w:rFonts w:ascii="Times New Roman" w:hAnsi="Times New Roman" w:cs="Times New Roman"/>
          <w:lang w:val="sk-SK"/>
        </w:rPr>
        <w:t xml:space="preserve"> </w:t>
      </w:r>
    </w:p>
    <w:p w14:paraId="490C258F" w14:textId="77777777" w:rsidR="00D97782" w:rsidRPr="00702F86" w:rsidRDefault="001A4B3D" w:rsidP="002E2D24">
      <w:pPr>
        <w:pStyle w:val="Odsekzoznamu"/>
        <w:numPr>
          <w:ilvl w:val="1"/>
          <w:numId w:val="50"/>
        </w:numPr>
        <w:ind w:left="993" w:hanging="426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702F86">
        <w:rPr>
          <w:rFonts w:ascii="Times New Roman" w:hAnsi="Times New Roman" w:cs="Times New Roman"/>
          <w:lang w:val="sk-SK"/>
        </w:rPr>
        <w:t>služby Prevádzkovateľa</w:t>
      </w:r>
      <w:r w:rsidRPr="00702F86">
        <w:rPr>
          <w:rFonts w:ascii="Times New Roman" w:hAnsi="Times New Roman" w:cs="Times New Roman"/>
          <w:lang w:val="sk-SK"/>
        </w:rPr>
        <w:t xml:space="preserve">, alebo k  narušeniu dôvernosti prenášaných dát, k nemožnosti poskytovania služby </w:t>
      </w:r>
      <w:r w:rsidR="00EF2F1E" w:rsidRPr="00702F86">
        <w:rPr>
          <w:rFonts w:ascii="Times New Roman" w:hAnsi="Times New Roman" w:cs="Times New Roman"/>
          <w:lang w:val="sk-SK"/>
        </w:rPr>
        <w:t xml:space="preserve">Prevádzkovateľa </w:t>
      </w:r>
      <w:r w:rsidRPr="00702F86">
        <w:rPr>
          <w:rFonts w:ascii="Times New Roman" w:hAnsi="Times New Roman" w:cs="Times New Roman"/>
          <w:lang w:val="sk-SK"/>
        </w:rPr>
        <w:t>alebo k zníženiu kvality poskytovanej služby</w:t>
      </w:r>
      <w:r w:rsidR="00EF2F1E" w:rsidRPr="00702F86">
        <w:rPr>
          <w:rFonts w:ascii="Times New Roman" w:hAnsi="Times New Roman" w:cs="Times New Roman"/>
          <w:lang w:val="sk-SK"/>
        </w:rPr>
        <w:t xml:space="preserve"> Prevádzkovateľa</w:t>
      </w:r>
      <w:r w:rsidRPr="00702F86">
        <w:rPr>
          <w:rFonts w:ascii="Times New Roman" w:hAnsi="Times New Roman" w:cs="Times New Roman"/>
          <w:lang w:val="sk-SK"/>
        </w:rPr>
        <w:t>.</w:t>
      </w:r>
    </w:p>
    <w:p w14:paraId="7A284D5F" w14:textId="77777777" w:rsidR="008E1AD7" w:rsidRPr="00702F86" w:rsidRDefault="008E1AD7" w:rsidP="00315DDE">
      <w:pPr>
        <w:pStyle w:val="Default"/>
        <w:spacing w:after="27"/>
        <w:ind w:left="284"/>
        <w:jc w:val="both"/>
        <w:rPr>
          <w:color w:val="auto"/>
          <w:sz w:val="22"/>
          <w:szCs w:val="22"/>
        </w:rPr>
      </w:pPr>
    </w:p>
    <w:p w14:paraId="772D2620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I</w:t>
      </w:r>
      <w:r w:rsidR="0093664F" w:rsidRPr="00702F86">
        <w:rPr>
          <w:b/>
          <w:bCs/>
          <w:color w:val="auto"/>
          <w:sz w:val="22"/>
          <w:szCs w:val="22"/>
        </w:rPr>
        <w:t>II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1A1C9A21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Práva a povinnosti zmluvných strán</w:t>
      </w:r>
    </w:p>
    <w:p w14:paraId="5651AB3E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16235FC3" w14:textId="7688EDAE" w:rsidR="00973556" w:rsidRPr="00702F86" w:rsidRDefault="009511F7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Dodávateľ </w:t>
      </w:r>
      <w:r w:rsidR="00003F4E" w:rsidRPr="00702F86">
        <w:rPr>
          <w:color w:val="auto"/>
          <w:sz w:val="22"/>
          <w:szCs w:val="22"/>
        </w:rPr>
        <w:t xml:space="preserve">sa zaväzuje dodržiavať </w:t>
      </w:r>
      <w:r w:rsidR="005675EB" w:rsidRPr="00702F86">
        <w:rPr>
          <w:color w:val="auto"/>
          <w:sz w:val="22"/>
          <w:szCs w:val="22"/>
        </w:rPr>
        <w:t>Prevádzkovateľ</w:t>
      </w:r>
      <w:r w:rsidR="00003F4E" w:rsidRPr="00702F86">
        <w:rPr>
          <w:color w:val="auto"/>
          <w:sz w:val="22"/>
          <w:szCs w:val="22"/>
        </w:rPr>
        <w:t>om vydané bezpečnostné smernice a štandardy, </w:t>
      </w:r>
      <w:r w:rsidR="00F43932" w:rsidRPr="00702F86">
        <w:rPr>
          <w:color w:val="auto"/>
          <w:sz w:val="22"/>
          <w:szCs w:val="22"/>
        </w:rPr>
        <w:t xml:space="preserve">s </w:t>
      </w:r>
      <w:r w:rsidR="00003F4E" w:rsidRPr="00702F86">
        <w:rPr>
          <w:color w:val="auto"/>
          <w:sz w:val="22"/>
          <w:szCs w:val="22"/>
        </w:rPr>
        <w:t>ktorými bol Dodávateľ preukázateľne oboznámený (ďalej aj len ako „</w:t>
      </w:r>
      <w:r w:rsidR="00003F4E" w:rsidRPr="00702F86">
        <w:rPr>
          <w:b/>
          <w:color w:val="auto"/>
          <w:sz w:val="22"/>
          <w:szCs w:val="22"/>
        </w:rPr>
        <w:t>bezpečnostná politika</w:t>
      </w:r>
      <w:r w:rsidR="00003F4E" w:rsidRPr="00702F86">
        <w:rPr>
          <w:color w:val="auto"/>
          <w:sz w:val="22"/>
          <w:szCs w:val="22"/>
        </w:rPr>
        <w:t>“) a bezpečnostné požiadavky uvedené v tejto zmluve.</w:t>
      </w:r>
      <w:r w:rsidR="00F105FF" w:rsidRPr="00702F86">
        <w:rPr>
          <w:color w:val="auto"/>
          <w:sz w:val="22"/>
          <w:szCs w:val="22"/>
        </w:rPr>
        <w:t>.</w:t>
      </w:r>
      <w:r w:rsidR="00973556" w:rsidRPr="00702F86">
        <w:rPr>
          <w:color w:val="auto"/>
          <w:sz w:val="22"/>
          <w:szCs w:val="22"/>
        </w:rPr>
        <w:t xml:space="preserve"> </w:t>
      </w:r>
    </w:p>
    <w:p w14:paraId="661D8771" w14:textId="77777777" w:rsidR="00973556" w:rsidRPr="00702F86" w:rsidRDefault="00973556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15E1DE75" w14:textId="23F0F2E1" w:rsidR="00003F4E" w:rsidRPr="00702F86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bezpečnostná politika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 sa môž</w:t>
      </w:r>
      <w:r w:rsidR="00E85CEE" w:rsidRPr="00702F86">
        <w:rPr>
          <w:color w:val="auto"/>
          <w:sz w:val="22"/>
          <w:szCs w:val="22"/>
        </w:rPr>
        <w:t>u</w:t>
      </w:r>
      <w:r w:rsidRPr="00702F86">
        <w:rPr>
          <w:color w:val="auto"/>
          <w:sz w:val="22"/>
          <w:szCs w:val="22"/>
        </w:rPr>
        <w:t xml:space="preserve"> priebežne meniť a dopĺňať tak, aby zodpovedala aktuálnym bezpečnostným opatreniam, aktuálnemu stavu sietí a informačných systémov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a.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</w:t>
      </w:r>
      <w:r w:rsidR="00F51F2B" w:rsidRPr="00702F86">
        <w:rPr>
          <w:color w:val="auto"/>
          <w:sz w:val="22"/>
          <w:szCs w:val="22"/>
        </w:rPr>
        <w:t xml:space="preserve">zmluvné strany </w:t>
      </w:r>
      <w:r w:rsidRPr="00702F86">
        <w:rPr>
          <w:color w:val="auto"/>
          <w:sz w:val="22"/>
          <w:szCs w:val="22"/>
        </w:rPr>
        <w:t>následne potvrd</w:t>
      </w:r>
      <w:r w:rsidR="00F51F2B" w:rsidRPr="00702F86">
        <w:rPr>
          <w:color w:val="auto"/>
          <w:sz w:val="22"/>
          <w:szCs w:val="22"/>
        </w:rPr>
        <w:t>ia</w:t>
      </w:r>
      <w:r w:rsidRPr="00702F86">
        <w:rPr>
          <w:color w:val="auto"/>
          <w:sz w:val="22"/>
          <w:szCs w:val="22"/>
        </w:rPr>
        <w:t xml:space="preserve"> akceptáciu zmien bezpečnostnej politiky</w:t>
      </w:r>
      <w:r w:rsidR="00F51F2B" w:rsidRPr="00702F86">
        <w:rPr>
          <w:color w:val="auto"/>
          <w:sz w:val="22"/>
          <w:szCs w:val="22"/>
        </w:rPr>
        <w:t xml:space="preserve"> formou dodatku k tejto zmluve</w:t>
      </w:r>
      <w:r w:rsidRPr="00702F86">
        <w:rPr>
          <w:color w:val="auto"/>
          <w:sz w:val="22"/>
          <w:szCs w:val="22"/>
        </w:rPr>
        <w:t>.</w:t>
      </w:r>
    </w:p>
    <w:p w14:paraId="151FF145" w14:textId="77777777" w:rsidR="00003F4E" w:rsidRPr="00702F86" w:rsidRDefault="00003F4E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0577917A" w14:textId="159AC291" w:rsidR="00D97782" w:rsidRPr="00702F86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sa zaväzuje prijímať a dodržiavať bezpečnostné </w:t>
      </w:r>
      <w:r w:rsidR="0042444A" w:rsidRPr="00702F86">
        <w:rPr>
          <w:color w:val="auto"/>
          <w:sz w:val="22"/>
          <w:szCs w:val="22"/>
        </w:rPr>
        <w:t>opatrenia</w:t>
      </w:r>
      <w:r w:rsidR="007779E5" w:rsidRPr="00702F86">
        <w:rPr>
          <w:color w:val="auto"/>
          <w:sz w:val="22"/>
          <w:szCs w:val="22"/>
        </w:rPr>
        <w:t xml:space="preserve"> Prevádzkovateľa</w:t>
      </w:r>
      <w:r w:rsidR="00D97782" w:rsidRPr="00702F86">
        <w:rPr>
          <w:color w:val="auto"/>
          <w:sz w:val="22"/>
          <w:szCs w:val="22"/>
        </w:rPr>
        <w:t xml:space="preserve">, ktoré tvoria </w:t>
      </w:r>
      <w:r w:rsidR="0042444A" w:rsidRPr="00702F86">
        <w:rPr>
          <w:b/>
          <w:color w:val="auto"/>
          <w:sz w:val="22"/>
          <w:szCs w:val="22"/>
        </w:rPr>
        <w:t>P</w:t>
      </w:r>
      <w:r w:rsidR="00D97782" w:rsidRPr="00702F86">
        <w:rPr>
          <w:b/>
          <w:color w:val="auto"/>
          <w:sz w:val="22"/>
          <w:szCs w:val="22"/>
        </w:rPr>
        <w:t>rílohu č. 1</w:t>
      </w:r>
      <w:r w:rsidR="00D97782" w:rsidRPr="00702F86">
        <w:rPr>
          <w:color w:val="auto"/>
          <w:sz w:val="22"/>
          <w:szCs w:val="22"/>
        </w:rPr>
        <w:t xml:space="preserve"> k tejto zmluve. </w:t>
      </w:r>
    </w:p>
    <w:p w14:paraId="5714ABA4" w14:textId="77777777" w:rsidR="00D97782" w:rsidRPr="00702F86" w:rsidRDefault="00D97782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4F09A6DE" w14:textId="397D5D48" w:rsidR="00D97782" w:rsidRPr="00702F86" w:rsidRDefault="00996C66" w:rsidP="00E9599A">
      <w:pPr>
        <w:pStyle w:val="Default"/>
        <w:numPr>
          <w:ilvl w:val="0"/>
          <w:numId w:val="47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B</w:t>
      </w:r>
      <w:r w:rsidR="00D97782" w:rsidRPr="00702F86">
        <w:rPr>
          <w:color w:val="auto"/>
          <w:sz w:val="22"/>
          <w:szCs w:val="22"/>
        </w:rPr>
        <w:t xml:space="preserve">ezpečnostné </w:t>
      </w:r>
      <w:r w:rsidR="0042444A" w:rsidRPr="00702F86">
        <w:rPr>
          <w:color w:val="auto"/>
          <w:sz w:val="22"/>
          <w:szCs w:val="22"/>
        </w:rPr>
        <w:t>opatrenia</w:t>
      </w:r>
      <w:r w:rsidR="00D97782" w:rsidRPr="00702F86">
        <w:rPr>
          <w:color w:val="auto"/>
          <w:sz w:val="22"/>
          <w:szCs w:val="22"/>
        </w:rPr>
        <w:t xml:space="preserve">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 w:rsidRPr="00702F86">
        <w:rPr>
          <w:color w:val="auto"/>
          <w:sz w:val="22"/>
          <w:szCs w:val="22"/>
        </w:rPr>
        <w:t>požiadavkám</w:t>
      </w:r>
      <w:r w:rsidR="00D97782" w:rsidRPr="00702F86">
        <w:rPr>
          <w:color w:val="auto"/>
          <w:sz w:val="22"/>
          <w:szCs w:val="22"/>
        </w:rPr>
        <w:t xml:space="preserve">, aktuálnemu stavu sietí a informačných systémov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a</w:t>
      </w:r>
      <w:r w:rsidRPr="00702F86">
        <w:rPr>
          <w:color w:val="auto"/>
          <w:sz w:val="22"/>
          <w:szCs w:val="22"/>
        </w:rPr>
        <w:t>.</w:t>
      </w:r>
      <w:r w:rsidR="00D10FEE" w:rsidRPr="00702F86">
        <w:rPr>
          <w:color w:val="auto"/>
          <w:sz w:val="22"/>
          <w:szCs w:val="22"/>
        </w:rPr>
        <w:t xml:space="preserve"> </w:t>
      </w:r>
      <w:r w:rsidRPr="00702F86">
        <w:rPr>
          <w:color w:val="auto"/>
          <w:sz w:val="22"/>
          <w:szCs w:val="22"/>
        </w:rPr>
        <w:t xml:space="preserve">Prevádzkovateľ je povinný bezodkladne oboznámiť Dodávateľa s aktualizovanými bezpečnostnými opatreniami s dôrazom na zmeny v nich uvedené, </w:t>
      </w:r>
      <w:r w:rsidR="00D10FEE" w:rsidRPr="00702F86">
        <w:rPr>
          <w:color w:val="auto"/>
          <w:sz w:val="22"/>
          <w:szCs w:val="22"/>
        </w:rPr>
        <w:lastRenderedPageBreak/>
        <w:t xml:space="preserve">pričom </w:t>
      </w:r>
      <w:r w:rsidRPr="00702F86">
        <w:rPr>
          <w:color w:val="auto"/>
          <w:sz w:val="22"/>
          <w:szCs w:val="22"/>
        </w:rPr>
        <w:t>zmluvné strany následne potvrdia akceptáciu zmien bezpečnostných opatrení formou dodatku k tejto zmluve</w:t>
      </w:r>
      <w:r w:rsidR="0092371B" w:rsidRPr="00702F86">
        <w:rPr>
          <w:color w:val="auto"/>
          <w:sz w:val="22"/>
          <w:szCs w:val="22"/>
        </w:rPr>
        <w:t xml:space="preserve"> </w:t>
      </w:r>
      <w:r w:rsidR="00392AD8" w:rsidRPr="00702F86">
        <w:rPr>
          <w:color w:val="auto"/>
          <w:sz w:val="22"/>
          <w:szCs w:val="22"/>
        </w:rPr>
        <w:t>.</w:t>
      </w:r>
    </w:p>
    <w:p w14:paraId="405368E4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5AEBCF4A" w14:textId="65FED565" w:rsidR="00D97782" w:rsidRPr="00702F86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plniť </w:t>
      </w:r>
      <w:r w:rsidR="004773CB" w:rsidRPr="00702F86">
        <w:rPr>
          <w:color w:val="auto"/>
          <w:sz w:val="22"/>
          <w:szCs w:val="22"/>
        </w:rPr>
        <w:t xml:space="preserve">bezpečnostné opatrenia a </w:t>
      </w:r>
      <w:r w:rsidR="00D97782" w:rsidRPr="00702F86">
        <w:rPr>
          <w:color w:val="auto"/>
          <w:sz w:val="22"/>
          <w:szCs w:val="22"/>
        </w:rPr>
        <w:t xml:space="preserve">notifikačné povinnosti </w:t>
      </w:r>
      <w:r w:rsidR="008E0ADD" w:rsidRPr="00702F86">
        <w:rPr>
          <w:color w:val="auto"/>
          <w:sz w:val="22"/>
          <w:szCs w:val="22"/>
        </w:rPr>
        <w:t>v oblasti</w:t>
      </w:r>
      <w:r w:rsidR="00D97782" w:rsidRPr="00702F86">
        <w:rPr>
          <w:color w:val="auto"/>
          <w:sz w:val="22"/>
          <w:szCs w:val="22"/>
        </w:rPr>
        <w:t xml:space="preserve"> kybernetickej bezpečnosti v rozsahu uvedenom v tejto zmluve </w:t>
      </w:r>
      <w:r w:rsidR="006647FC" w:rsidRPr="00702F86">
        <w:rPr>
          <w:color w:val="auto"/>
          <w:sz w:val="22"/>
          <w:szCs w:val="22"/>
        </w:rPr>
        <w:t>počas celej doby trvania tejto zmluvy, pokiaľ zo zmluv</w:t>
      </w:r>
      <w:r w:rsidR="00996C66" w:rsidRPr="00702F86">
        <w:rPr>
          <w:color w:val="auto"/>
          <w:sz w:val="22"/>
          <w:szCs w:val="22"/>
        </w:rPr>
        <w:t>y</w:t>
      </w:r>
      <w:r w:rsidR="006647FC" w:rsidRPr="00702F86">
        <w:rPr>
          <w:color w:val="auto"/>
          <w:sz w:val="22"/>
          <w:szCs w:val="22"/>
        </w:rPr>
        <w:t xml:space="preserve"> nevyplývajú povinnosti pre Dodávateľa aj po skončení platnosti a účinnosti tejto zmluvy alebo dodávateľskej zmluvy.</w:t>
      </w:r>
    </w:p>
    <w:p w14:paraId="237C2945" w14:textId="77777777" w:rsidR="00682B45" w:rsidRPr="00702F86" w:rsidRDefault="00682B4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6D47F84E" w14:textId="77777777" w:rsidR="00682B45" w:rsidRPr="00702F86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Dodávateľ sa zaväzuje chrániť všetky informácie poskytnuté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7D0DCA09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7E1B841C" w14:textId="5DE95E42" w:rsidR="00D97782" w:rsidRPr="00702F86" w:rsidRDefault="00217A4C" w:rsidP="003820E5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702F86">
        <w:rPr>
          <w:sz w:val="22"/>
          <w:szCs w:val="22"/>
        </w:rPr>
        <w:t xml:space="preserve">musí byť </w:t>
      </w:r>
      <w:r w:rsidR="00D97782" w:rsidRPr="00702F86">
        <w:rPr>
          <w:sz w:val="22"/>
          <w:szCs w:val="22"/>
        </w:rPr>
        <w:t>aktuálna</w:t>
      </w:r>
      <w:r w:rsidR="00351A38" w:rsidRPr="00702F86">
        <w:rPr>
          <w:sz w:val="22"/>
          <w:szCs w:val="22"/>
        </w:rPr>
        <w:t xml:space="preserve">, priebežne aktualizovaná </w:t>
      </w:r>
      <w:r w:rsidR="00D97782" w:rsidRPr="00702F86">
        <w:rPr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702F86">
        <w:rPr>
          <w:sz w:val="22"/>
          <w:szCs w:val="22"/>
        </w:rPr>
        <w:t>Prevádzkovateľ</w:t>
      </w:r>
      <w:r w:rsidR="00D97782" w:rsidRPr="00702F86">
        <w:rPr>
          <w:sz w:val="22"/>
          <w:szCs w:val="22"/>
        </w:rPr>
        <w:t>ovi</w:t>
      </w:r>
      <w:r w:rsidR="00996C66" w:rsidRPr="00702F86">
        <w:rPr>
          <w:sz w:val="22"/>
          <w:szCs w:val="22"/>
        </w:rPr>
        <w:t xml:space="preserve"> v určenej lehote nie kratšej ako [] pracovných dní</w:t>
      </w:r>
      <w:r w:rsidR="00D97782" w:rsidRPr="00702F86">
        <w:rPr>
          <w:color w:val="auto"/>
          <w:sz w:val="22"/>
          <w:szCs w:val="22"/>
        </w:rPr>
        <w:t>.</w:t>
      </w:r>
    </w:p>
    <w:p w14:paraId="00A81AD7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4C1A568A" w14:textId="77777777" w:rsidR="00580524" w:rsidRPr="00702F86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Z</w:t>
      </w:r>
      <w:r w:rsidR="00D97782" w:rsidRPr="00702F86">
        <w:rPr>
          <w:color w:val="auto"/>
          <w:sz w:val="22"/>
          <w:szCs w:val="22"/>
        </w:rPr>
        <w:t xml:space="preserve">oznam zamestnancov </w:t>
      </w:r>
      <w:r w:rsidR="00217A4C"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a, </w:t>
      </w:r>
      <w:r w:rsidR="0034702D" w:rsidRPr="00702F86">
        <w:rPr>
          <w:color w:val="auto"/>
          <w:sz w:val="22"/>
          <w:szCs w:val="22"/>
        </w:rPr>
        <w:t>sub</w:t>
      </w:r>
      <w:r w:rsidR="00A77068" w:rsidRPr="00702F86">
        <w:rPr>
          <w:color w:val="auto"/>
          <w:sz w:val="22"/>
          <w:szCs w:val="22"/>
        </w:rPr>
        <w:t>d</w:t>
      </w:r>
      <w:r w:rsidR="00217A4C" w:rsidRPr="00702F86">
        <w:rPr>
          <w:color w:val="auto"/>
          <w:sz w:val="22"/>
          <w:szCs w:val="22"/>
        </w:rPr>
        <w:t>odávateľ</w:t>
      </w:r>
      <w:r w:rsidR="0034702D" w:rsidRPr="00702F86">
        <w:rPr>
          <w:color w:val="auto"/>
          <w:sz w:val="22"/>
          <w:szCs w:val="22"/>
        </w:rPr>
        <w:t>a</w:t>
      </w:r>
      <w:r w:rsidR="00D97782" w:rsidRPr="00702F86">
        <w:rPr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a (ďalej len „</w:t>
      </w:r>
      <w:r w:rsidR="00D97782" w:rsidRPr="00702F86">
        <w:rPr>
          <w:b/>
          <w:bCs/>
          <w:color w:val="auto"/>
          <w:sz w:val="22"/>
          <w:szCs w:val="22"/>
        </w:rPr>
        <w:t>Zoznam osôb</w:t>
      </w:r>
      <w:r w:rsidR="00D97782" w:rsidRPr="00702F86">
        <w:rPr>
          <w:color w:val="auto"/>
          <w:sz w:val="22"/>
          <w:szCs w:val="22"/>
        </w:rPr>
        <w:t>“)</w:t>
      </w:r>
      <w:r w:rsidRPr="00702F86">
        <w:rPr>
          <w:color w:val="auto"/>
          <w:sz w:val="22"/>
          <w:szCs w:val="22"/>
        </w:rPr>
        <w:t xml:space="preserve"> tvorí </w:t>
      </w:r>
      <w:r w:rsidRPr="00702F86">
        <w:rPr>
          <w:b/>
          <w:color w:val="auto"/>
          <w:sz w:val="22"/>
          <w:szCs w:val="22"/>
        </w:rPr>
        <w:t>Prílohu č. 3</w:t>
      </w:r>
      <w:r w:rsidRPr="00702F86">
        <w:rPr>
          <w:color w:val="auto"/>
          <w:sz w:val="22"/>
          <w:szCs w:val="22"/>
        </w:rPr>
        <w:t xml:space="preserve"> tejto zmluvy</w:t>
      </w:r>
      <w:r w:rsidR="00D97782" w:rsidRPr="00702F86">
        <w:rPr>
          <w:color w:val="auto"/>
          <w:sz w:val="22"/>
          <w:szCs w:val="22"/>
        </w:rPr>
        <w:t xml:space="preserve">. </w:t>
      </w:r>
      <w:r w:rsidR="00217A4C"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oznámiť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ovi každú zmenu v Zozname osôb podľa tohto bodu</w:t>
      </w:r>
      <w:r w:rsidR="00E944C8" w:rsidRPr="00702F86">
        <w:rPr>
          <w:color w:val="auto"/>
          <w:sz w:val="22"/>
          <w:szCs w:val="22"/>
        </w:rPr>
        <w:t xml:space="preserve"> bezodkladne</w:t>
      </w:r>
      <w:r w:rsidR="005E0EF4" w:rsidRPr="00702F86">
        <w:rPr>
          <w:color w:val="auto"/>
          <w:sz w:val="22"/>
          <w:szCs w:val="22"/>
        </w:rPr>
        <w:t xml:space="preserve"> na mailovú adresu kontaktnej osoby Prevádzkovateľa</w:t>
      </w:r>
      <w:r w:rsidR="00580524" w:rsidRPr="00702F86">
        <w:rPr>
          <w:color w:val="auto"/>
          <w:sz w:val="22"/>
          <w:szCs w:val="22"/>
        </w:rPr>
        <w:t xml:space="preserve">. </w:t>
      </w:r>
    </w:p>
    <w:p w14:paraId="2976BAF6" w14:textId="77777777" w:rsidR="00EA7F72" w:rsidRPr="00702F86" w:rsidRDefault="00EA7F7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4AEF319A" w14:textId="77777777" w:rsidR="00D97782" w:rsidRPr="00702F86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písomne informovať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a o každej zmene, ktorá má významný vplyv na bezpečnostné opatrenia realizované </w:t>
      </w: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>om na účely plnenia tejto zmluvy.</w:t>
      </w:r>
    </w:p>
    <w:p w14:paraId="554ED0AA" w14:textId="77777777" w:rsidR="00682B45" w:rsidRPr="00702F86" w:rsidRDefault="00682B45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4BA7DCEE" w14:textId="77777777" w:rsidR="00682B45" w:rsidRPr="00702F86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 môže zapojiť do poskytovania služieb na základe dodávateľskej zmluvy ďalšieho dodávateľa</w:t>
      </w:r>
      <w:r w:rsidR="00807AE0" w:rsidRPr="00702F86">
        <w:rPr>
          <w:color w:val="auto"/>
          <w:sz w:val="22"/>
          <w:szCs w:val="22"/>
        </w:rPr>
        <w:t xml:space="preserve"> (subdodávateľ)</w:t>
      </w:r>
      <w:r w:rsidRPr="00702F86">
        <w:rPr>
          <w:color w:val="auto"/>
          <w:sz w:val="22"/>
          <w:szCs w:val="22"/>
        </w:rPr>
        <w:t>, ak mu to vyplýva z ustanovení dodávateľskej zmluvy počas doby jej platnosti a účinnosti.</w:t>
      </w:r>
    </w:p>
    <w:p w14:paraId="01D361C5" w14:textId="77777777" w:rsidR="003B3203" w:rsidRPr="00702F86" w:rsidRDefault="003B3203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255A64BC" w14:textId="66590230" w:rsidR="00D97782" w:rsidRPr="00702F86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Prevádzkovateľ je povinný informovať v nevyhnutnom rozsahu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>a o hlásenom kybernetickom incidente</w:t>
      </w:r>
      <w:r w:rsidR="00CB6E5F" w:rsidRPr="00702F86">
        <w:rPr>
          <w:color w:val="auto"/>
          <w:sz w:val="22"/>
          <w:szCs w:val="22"/>
        </w:rPr>
        <w:t>.</w:t>
      </w:r>
      <w:r w:rsidRPr="00702F86">
        <w:rPr>
          <w:color w:val="auto"/>
          <w:sz w:val="22"/>
          <w:szCs w:val="22"/>
        </w:rPr>
        <w:t xml:space="preserve"> Povinnosť zachovávať mlčanlivosť tým nie je dotknutá.</w:t>
      </w:r>
    </w:p>
    <w:p w14:paraId="3C6A5D76" w14:textId="7E449716" w:rsidR="001C259F" w:rsidRPr="00702F86" w:rsidRDefault="001C259F" w:rsidP="00E9599A">
      <w:pPr>
        <w:pStyle w:val="Default"/>
        <w:numPr>
          <w:ilvl w:val="0"/>
          <w:numId w:val="47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Na výkon </w:t>
      </w:r>
      <w:r w:rsidR="00BD000D" w:rsidRPr="00702F86">
        <w:rPr>
          <w:color w:val="auto"/>
          <w:sz w:val="22"/>
          <w:szCs w:val="22"/>
        </w:rPr>
        <w:t>činností</w:t>
      </w:r>
      <w:r w:rsidR="00C33392" w:rsidRPr="00702F86">
        <w:rPr>
          <w:color w:val="auto"/>
          <w:sz w:val="22"/>
          <w:szCs w:val="22"/>
        </w:rPr>
        <w:t>, ktoré vyplývajú z podstaty služieb poskytovaných na základe dodávateľskej zmluvy a/alebo tejto zmluvy</w:t>
      </w:r>
      <w:r w:rsidR="00BD000D" w:rsidRPr="00702F86">
        <w:rPr>
          <w:color w:val="auto"/>
          <w:sz w:val="22"/>
          <w:szCs w:val="22"/>
        </w:rPr>
        <w:t xml:space="preserve"> môže poveriť </w:t>
      </w:r>
      <w:r w:rsidR="009511F7" w:rsidRPr="00702F86">
        <w:rPr>
          <w:color w:val="auto"/>
          <w:sz w:val="22"/>
          <w:szCs w:val="22"/>
        </w:rPr>
        <w:t xml:space="preserve">Dodávateľ </w:t>
      </w:r>
      <w:r w:rsidR="00BD000D" w:rsidRPr="00702F86">
        <w:rPr>
          <w:color w:val="auto"/>
          <w:sz w:val="22"/>
          <w:szCs w:val="22"/>
        </w:rPr>
        <w:t>len konkrétne osoby v rámci pracovných rolí, ktorých zoznam je uvedený v Prílohe č. 3.</w:t>
      </w:r>
    </w:p>
    <w:p w14:paraId="57905D9E" w14:textId="77777777" w:rsidR="0002259D" w:rsidRPr="00702F86" w:rsidRDefault="0002259D" w:rsidP="002E2D24">
      <w:pPr>
        <w:pStyle w:val="Default"/>
        <w:jc w:val="both"/>
        <w:rPr>
          <w:color w:val="auto"/>
          <w:sz w:val="22"/>
          <w:szCs w:val="22"/>
        </w:rPr>
      </w:pPr>
    </w:p>
    <w:p w14:paraId="586469DD" w14:textId="77777777" w:rsidR="00C81B25" w:rsidRPr="00702F86" w:rsidRDefault="00C81B25" w:rsidP="00D97782">
      <w:pPr>
        <w:pStyle w:val="Default"/>
        <w:jc w:val="both"/>
        <w:rPr>
          <w:color w:val="auto"/>
          <w:sz w:val="22"/>
          <w:szCs w:val="22"/>
        </w:rPr>
      </w:pPr>
    </w:p>
    <w:p w14:paraId="1F3E199B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</w:t>
      </w:r>
      <w:r w:rsidR="0093664F" w:rsidRPr="00702F86">
        <w:rPr>
          <w:b/>
          <w:bCs/>
          <w:color w:val="auto"/>
          <w:sz w:val="22"/>
          <w:szCs w:val="22"/>
        </w:rPr>
        <w:t>I</w:t>
      </w:r>
      <w:r w:rsidR="00D97782" w:rsidRPr="00702F86">
        <w:rPr>
          <w:b/>
          <w:bCs/>
          <w:color w:val="auto"/>
          <w:sz w:val="22"/>
          <w:szCs w:val="22"/>
        </w:rPr>
        <w:t>V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2C690C60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Okolnosti plnenia zmluvy</w:t>
      </w:r>
    </w:p>
    <w:p w14:paraId="550C9A23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083A2308" w14:textId="00D941CD" w:rsidR="00D97782" w:rsidRPr="00702F86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vyhlasuje, že sa detailne oboznámil s rozsahom a povahou </w:t>
      </w:r>
      <w:r w:rsidR="002B04BC" w:rsidRPr="00702F86">
        <w:rPr>
          <w:color w:val="auto"/>
          <w:sz w:val="22"/>
          <w:szCs w:val="22"/>
        </w:rPr>
        <w:t>záväzkov</w:t>
      </w:r>
      <w:r w:rsidR="00D97782" w:rsidRPr="00702F86">
        <w:rPr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 tejto zmluvy, a že má zavedené úlohy, procesy, role a technológie v organizačnej personálnej a technickej oblasti, ktoré sú potrebné na napĺňanie požiadaviek tejto zmluvy.</w:t>
      </w:r>
    </w:p>
    <w:p w14:paraId="395E991D" w14:textId="77777777" w:rsidR="00580524" w:rsidRPr="00702F86" w:rsidRDefault="00580524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7D24B1A4" w14:textId="77777777" w:rsidR="00D97782" w:rsidRPr="00702F86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a pre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a podľa </w:t>
      </w:r>
      <w:r w:rsidR="006E3FE7" w:rsidRPr="00702F86">
        <w:rPr>
          <w:color w:val="auto"/>
          <w:sz w:val="22"/>
          <w:szCs w:val="22"/>
        </w:rPr>
        <w:t>dodávateľskej zmluvy</w:t>
      </w:r>
      <w:r w:rsidRPr="00702F86">
        <w:rPr>
          <w:color w:val="auto"/>
          <w:sz w:val="22"/>
          <w:szCs w:val="22"/>
        </w:rPr>
        <w:t xml:space="preserve">.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702F86">
        <w:rPr>
          <w:color w:val="auto"/>
          <w:sz w:val="22"/>
          <w:szCs w:val="22"/>
        </w:rPr>
        <w:t>dodávateľskej zmluvy</w:t>
      </w:r>
      <w:r w:rsidRPr="00702F86">
        <w:rPr>
          <w:color w:val="auto"/>
          <w:sz w:val="22"/>
          <w:szCs w:val="22"/>
        </w:rPr>
        <w:t>.</w:t>
      </w:r>
    </w:p>
    <w:p w14:paraId="03BFE50E" w14:textId="77777777" w:rsidR="00580524" w:rsidRPr="00702F86" w:rsidRDefault="00580524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02623980" w14:textId="77777777" w:rsidR="00702F86" w:rsidRDefault="00702F86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A40FDC1" w14:textId="7479DEB8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V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4A53A79C" w14:textId="77777777" w:rsidR="001A4B3D" w:rsidRPr="00702F86" w:rsidRDefault="001A4B3D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Všeobecné b</w:t>
      </w:r>
      <w:r w:rsidR="00D97782" w:rsidRPr="00702F86">
        <w:rPr>
          <w:b/>
          <w:bCs/>
          <w:color w:val="auto"/>
          <w:sz w:val="22"/>
          <w:szCs w:val="22"/>
        </w:rPr>
        <w:t xml:space="preserve">ezpečnostné opatrenia na </w:t>
      </w:r>
    </w:p>
    <w:p w14:paraId="0651E4FE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predchádzanie kybernetickým incidentom</w:t>
      </w:r>
    </w:p>
    <w:p w14:paraId="0ECA852C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0A639280" w14:textId="77777777" w:rsidR="00D97782" w:rsidRPr="00702F86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v rámci prevencie </w:t>
      </w:r>
      <w:r w:rsidR="002B04BC" w:rsidRPr="00702F86">
        <w:rPr>
          <w:color w:val="auto"/>
          <w:sz w:val="22"/>
          <w:szCs w:val="22"/>
        </w:rPr>
        <w:t xml:space="preserve">pred </w:t>
      </w:r>
      <w:r w:rsidR="00D97782" w:rsidRPr="00702F86">
        <w:rPr>
          <w:color w:val="auto"/>
          <w:sz w:val="22"/>
          <w:szCs w:val="22"/>
        </w:rPr>
        <w:t>kybernetický</w:t>
      </w:r>
      <w:r w:rsidR="002B04BC" w:rsidRPr="00702F86">
        <w:rPr>
          <w:color w:val="auto"/>
          <w:sz w:val="22"/>
          <w:szCs w:val="22"/>
        </w:rPr>
        <w:t>mi</w:t>
      </w:r>
      <w:r w:rsidR="00D97782" w:rsidRPr="00702F86">
        <w:rPr>
          <w:color w:val="auto"/>
          <w:sz w:val="22"/>
          <w:szCs w:val="22"/>
        </w:rPr>
        <w:t xml:space="preserve"> incident</w:t>
      </w:r>
      <w:r w:rsidR="002B04BC" w:rsidRPr="00702F86">
        <w:rPr>
          <w:color w:val="auto"/>
          <w:sz w:val="22"/>
          <w:szCs w:val="22"/>
        </w:rPr>
        <w:t>mi</w:t>
      </w:r>
      <w:r w:rsidR="00D97782" w:rsidRPr="00702F86">
        <w:rPr>
          <w:color w:val="auto"/>
          <w:sz w:val="22"/>
          <w:szCs w:val="22"/>
        </w:rPr>
        <w:t>:</w:t>
      </w:r>
    </w:p>
    <w:p w14:paraId="28F7DDBE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lastRenderedPageBreak/>
        <w:t>zabezpečiť vlastnú kybernetickú bezpečnosť</w:t>
      </w:r>
      <w:r w:rsidR="002B04BC" w:rsidRPr="00702F86">
        <w:rPr>
          <w:color w:val="auto"/>
          <w:sz w:val="22"/>
          <w:szCs w:val="22"/>
        </w:rPr>
        <w:t xml:space="preserve"> tak</w:t>
      </w:r>
      <w:r w:rsidRPr="00702F86">
        <w:rPr>
          <w:color w:val="auto"/>
          <w:sz w:val="22"/>
          <w:szCs w:val="22"/>
        </w:rPr>
        <w:t xml:space="preserve">, aby cez siete a informačné systémy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a nebolo možné </w:t>
      </w:r>
      <w:r w:rsidR="00681E3E" w:rsidRPr="00702F86">
        <w:rPr>
          <w:color w:val="auto"/>
          <w:sz w:val="22"/>
          <w:szCs w:val="22"/>
        </w:rPr>
        <w:t>ohroziť</w:t>
      </w:r>
      <w:r w:rsidRPr="00702F86">
        <w:rPr>
          <w:color w:val="auto"/>
          <w:sz w:val="22"/>
          <w:szCs w:val="22"/>
        </w:rPr>
        <w:t xml:space="preserve"> siete a informačné systémy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a,</w:t>
      </w:r>
    </w:p>
    <w:p w14:paraId="48028010" w14:textId="77777777" w:rsidR="00D97782" w:rsidRPr="00702F86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preukázateľne </w:t>
      </w:r>
      <w:r w:rsidR="00D97782" w:rsidRPr="00702F86">
        <w:rPr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702F86">
        <w:rPr>
          <w:color w:val="auto"/>
          <w:sz w:val="22"/>
          <w:szCs w:val="22"/>
        </w:rPr>
        <w:t xml:space="preserve"> dátam alebo </w:t>
      </w:r>
      <w:r w:rsidR="00D97782" w:rsidRPr="00702F86">
        <w:rPr>
          <w:color w:val="auto"/>
          <w:sz w:val="22"/>
          <w:szCs w:val="22"/>
        </w:rPr>
        <w:t xml:space="preserve">informáciám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a,</w:t>
      </w:r>
    </w:p>
    <w:p w14:paraId="22F7CEF0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17CAA0F6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702F86">
        <w:rPr>
          <w:color w:val="auto"/>
          <w:sz w:val="22"/>
          <w:szCs w:val="22"/>
        </w:rPr>
        <w:t xml:space="preserve"> resp. kybernetickú bezpečnosť</w:t>
      </w:r>
      <w:r w:rsidRPr="00702F86">
        <w:rPr>
          <w:color w:val="auto"/>
          <w:sz w:val="22"/>
          <w:szCs w:val="22"/>
        </w:rPr>
        <w:t xml:space="preserve">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a,</w:t>
      </w:r>
    </w:p>
    <w:p w14:paraId="538DB3B0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predchádzať vzniku kybernetických incidentov</w:t>
      </w:r>
      <w:r w:rsidR="00A71209" w:rsidRPr="00702F86">
        <w:rPr>
          <w:color w:val="auto"/>
          <w:sz w:val="22"/>
          <w:szCs w:val="22"/>
        </w:rPr>
        <w:t xml:space="preserve"> implementovaním najmä bezpečnostných opatrení </w:t>
      </w:r>
      <w:r w:rsidR="00EC040A" w:rsidRPr="00702F86">
        <w:rPr>
          <w:color w:val="auto"/>
          <w:sz w:val="22"/>
          <w:szCs w:val="22"/>
        </w:rPr>
        <w:t>v prostredí Dodávateľa</w:t>
      </w:r>
      <w:r w:rsidRPr="00702F86">
        <w:rPr>
          <w:color w:val="auto"/>
          <w:sz w:val="22"/>
          <w:szCs w:val="22"/>
        </w:rPr>
        <w:t>,</w:t>
      </w:r>
    </w:p>
    <w:p w14:paraId="7E335B39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v prípade vzniku kybernetických incidentov</w:t>
      </w:r>
      <w:r w:rsidR="00EC040A" w:rsidRPr="00702F86">
        <w:rPr>
          <w:color w:val="auto"/>
          <w:sz w:val="22"/>
          <w:szCs w:val="22"/>
        </w:rPr>
        <w:t xml:space="preserve"> v prostredí Dodávateľa</w:t>
      </w:r>
      <w:r w:rsidRPr="00702F86">
        <w:rPr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133F9651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prijímať od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702F86">
        <w:rPr>
          <w:color w:val="auto"/>
          <w:sz w:val="22"/>
          <w:szCs w:val="22"/>
        </w:rPr>
        <w:t xml:space="preserve">resp. kybernetickú bezpečnosť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a,</w:t>
      </w:r>
    </w:p>
    <w:p w14:paraId="0976579A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zasielať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1C0B6EF0" w14:textId="77777777" w:rsidR="00D97782" w:rsidRPr="00702F86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spolupracovať s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om pri zabezpečovaní kybernetickej bezpečnosti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a.</w:t>
      </w:r>
    </w:p>
    <w:p w14:paraId="7DABA54E" w14:textId="77777777" w:rsidR="00D97782" w:rsidRPr="00702F86" w:rsidRDefault="00D97782" w:rsidP="000925A9">
      <w:pPr>
        <w:pStyle w:val="Default"/>
        <w:jc w:val="center"/>
        <w:rPr>
          <w:b/>
          <w:color w:val="auto"/>
          <w:sz w:val="22"/>
          <w:szCs w:val="22"/>
        </w:rPr>
      </w:pPr>
    </w:p>
    <w:p w14:paraId="3CF1A369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VI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1D16D993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Riešenie kybernetických incidentov</w:t>
      </w:r>
    </w:p>
    <w:p w14:paraId="10A59B7F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3C4B085D" w14:textId="77777777" w:rsidR="00677136" w:rsidRPr="00702F8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bezodkladne hlásiť každý </w:t>
      </w:r>
      <w:r w:rsidR="00EA04A9" w:rsidRPr="00702F86">
        <w:rPr>
          <w:color w:val="auto"/>
          <w:sz w:val="22"/>
          <w:szCs w:val="22"/>
        </w:rPr>
        <w:t xml:space="preserve">Dodávateľovi známy a so zmluvou súvisiaci </w:t>
      </w:r>
      <w:r w:rsidR="00D97782" w:rsidRPr="00702F86">
        <w:rPr>
          <w:color w:val="auto"/>
          <w:sz w:val="22"/>
          <w:szCs w:val="22"/>
        </w:rPr>
        <w:t xml:space="preserve">kybernetický incident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ovi spôsobom určeným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om, ktorý je uvedený v</w:t>
      </w:r>
      <w:r w:rsidR="00677136" w:rsidRPr="00702F86">
        <w:rPr>
          <w:color w:val="auto"/>
          <w:sz w:val="22"/>
          <w:szCs w:val="22"/>
        </w:rPr>
        <w:t> </w:t>
      </w:r>
      <w:r w:rsidR="00677136" w:rsidRPr="00702F86">
        <w:rPr>
          <w:b/>
          <w:color w:val="auto"/>
          <w:sz w:val="22"/>
          <w:szCs w:val="22"/>
        </w:rPr>
        <w:t>Prílohe č. 2</w:t>
      </w:r>
      <w:r w:rsidR="0040663B" w:rsidRPr="00702F86">
        <w:rPr>
          <w:b/>
          <w:color w:val="auto"/>
          <w:sz w:val="22"/>
          <w:szCs w:val="22"/>
        </w:rPr>
        <w:t xml:space="preserve">, </w:t>
      </w:r>
      <w:r w:rsidR="0040663B" w:rsidRPr="00702F86">
        <w:rPr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702F86">
        <w:rPr>
          <w:color w:val="auto"/>
          <w:sz w:val="22"/>
          <w:szCs w:val="22"/>
        </w:rPr>
        <w:t xml:space="preserve"> </w:t>
      </w:r>
      <w:r w:rsidR="00D97782" w:rsidRPr="00702F86">
        <w:rPr>
          <w:color w:val="auto"/>
          <w:sz w:val="22"/>
          <w:szCs w:val="22"/>
        </w:rPr>
        <w:t xml:space="preserve">Ak od okamihu hlásenia kybernetického incidentu nepominuli jeho účinky, </w:t>
      </w: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258CBE97" w14:textId="77777777" w:rsidR="00447A57" w:rsidRPr="00702F86" w:rsidRDefault="00447A57" w:rsidP="0032249B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2378626D" w14:textId="77777777" w:rsidR="003F1E0B" w:rsidRPr="00702F86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702F86">
        <w:rPr>
          <w:b/>
          <w:color w:val="auto"/>
          <w:sz w:val="22"/>
          <w:szCs w:val="22"/>
        </w:rPr>
        <w:t>Reakčné opatrenia</w:t>
      </w:r>
      <w:r w:rsidRPr="00702F86">
        <w:rPr>
          <w:color w:val="auto"/>
          <w:sz w:val="22"/>
          <w:szCs w:val="22"/>
        </w:rPr>
        <w:t xml:space="preserve">“), a to ako na výzvu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a, tak aj bez jeho výzvy, ak sa o incidente dozvie.</w:t>
      </w:r>
    </w:p>
    <w:p w14:paraId="5C64B295" w14:textId="77777777" w:rsidR="00E9599A" w:rsidRPr="00702F86" w:rsidRDefault="00E9599A" w:rsidP="005C7620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1E23E6CE" w14:textId="77777777" w:rsidR="005F6494" w:rsidRPr="00702F86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Dodávateľ pri reakciách na incidenty spolupracuje s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625A3D28" w14:textId="77777777" w:rsidR="00447A57" w:rsidRPr="00702F86" w:rsidRDefault="00447A57" w:rsidP="0032249B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3AE91CF2" w14:textId="77777777" w:rsidR="005F6494" w:rsidRPr="00702F86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702F86">
        <w:rPr>
          <w:sz w:val="22"/>
          <w:szCs w:val="22"/>
        </w:rPr>
        <w:t xml:space="preserve">touto zmluvou, </w:t>
      </w:r>
      <w:r w:rsidRPr="00702F86">
        <w:rPr>
          <w:sz w:val="22"/>
          <w:szCs w:val="22"/>
        </w:rPr>
        <w:t>ako aj svojimi internými procedúrami a postupmi tak, aby bol kybernetický incident a jeho dôsledky odstránené v čo najkratšom možnom čase.</w:t>
      </w:r>
    </w:p>
    <w:p w14:paraId="1C083B98" w14:textId="77777777" w:rsidR="00447A57" w:rsidRPr="00702F86" w:rsidRDefault="00447A57" w:rsidP="0032249B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19530BAA" w14:textId="77777777" w:rsidR="00D97782" w:rsidRPr="00702F86" w:rsidRDefault="00217A4C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>Dodávateľ</w:t>
      </w:r>
      <w:r w:rsidR="00D97782" w:rsidRPr="00702F86">
        <w:rPr>
          <w:rFonts w:ascii="Times New Roman" w:hAnsi="Times New Roman" w:cs="Times New Roman"/>
          <w:lang w:val="sk-SK"/>
        </w:rPr>
        <w:t xml:space="preserve"> je povinný bezodkladne oznámiť a preukázať </w:t>
      </w:r>
      <w:r w:rsidR="00D345AF" w:rsidRPr="00702F86">
        <w:rPr>
          <w:rFonts w:ascii="Times New Roman" w:hAnsi="Times New Roman" w:cs="Times New Roman"/>
          <w:lang w:val="sk-SK"/>
        </w:rPr>
        <w:t>Prevádzkovateľ</w:t>
      </w:r>
      <w:r w:rsidR="00D97782" w:rsidRPr="00702F86">
        <w:rPr>
          <w:rFonts w:ascii="Times New Roman" w:hAnsi="Times New Roman" w:cs="Times New Roman"/>
          <w:lang w:val="sk-SK"/>
        </w:rPr>
        <w:t>ovi vykonanie opatrenia na riešenie kybernetického incidentu a jeho výsledok.</w:t>
      </w:r>
    </w:p>
    <w:p w14:paraId="21F32B56" w14:textId="77777777" w:rsidR="00447A57" w:rsidRPr="00702F86" w:rsidRDefault="00447A57" w:rsidP="0032249B">
      <w:pPr>
        <w:pStyle w:val="Odsekzoznamu"/>
        <w:ind w:left="567" w:hanging="567"/>
        <w:jc w:val="both"/>
        <w:rPr>
          <w:rFonts w:ascii="Times New Roman" w:hAnsi="Times New Roman" w:cs="Times New Roman"/>
          <w:lang w:val="sk-SK"/>
        </w:rPr>
      </w:pPr>
    </w:p>
    <w:p w14:paraId="08D24D06" w14:textId="12E13FA6" w:rsidR="00341952" w:rsidRPr="00702F86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 xml:space="preserve">Po vyriešení kybernetického incidentu je </w:t>
      </w:r>
      <w:r w:rsidR="00217A4C" w:rsidRPr="00702F86">
        <w:rPr>
          <w:rFonts w:ascii="Times New Roman" w:hAnsi="Times New Roman" w:cs="Times New Roman"/>
          <w:lang w:val="sk-SK"/>
        </w:rPr>
        <w:t>Dodávateľ</w:t>
      </w:r>
      <w:r w:rsidRPr="00702F86">
        <w:rPr>
          <w:rFonts w:ascii="Times New Roman" w:hAnsi="Times New Roman" w:cs="Times New Roman"/>
          <w:lang w:val="sk-SK"/>
        </w:rPr>
        <w:t xml:space="preserve"> na výzvu </w:t>
      </w:r>
      <w:r w:rsidR="00D345AF" w:rsidRPr="00702F86">
        <w:rPr>
          <w:rFonts w:ascii="Times New Roman" w:hAnsi="Times New Roman" w:cs="Times New Roman"/>
          <w:lang w:val="sk-SK"/>
        </w:rPr>
        <w:t>Prevádzkovateľ</w:t>
      </w:r>
      <w:r w:rsidRPr="00702F86">
        <w:rPr>
          <w:rFonts w:ascii="Times New Roman" w:hAnsi="Times New Roman" w:cs="Times New Roman"/>
          <w:lang w:val="sk-SK"/>
        </w:rPr>
        <w:t xml:space="preserve">a v určenej lehote </w:t>
      </w:r>
      <w:r w:rsidR="00EA04A9" w:rsidRPr="00702F86">
        <w:rPr>
          <w:rFonts w:ascii="Times New Roman" w:hAnsi="Times New Roman" w:cs="Times New Roman"/>
          <w:lang w:val="sk-SK"/>
        </w:rPr>
        <w:t xml:space="preserve">nie kratšej ako </w:t>
      </w:r>
      <w:r w:rsidR="00EA04A9" w:rsidRPr="00702F86">
        <w:rPr>
          <w:rFonts w:ascii="Times New Roman" w:hAnsi="Times New Roman" w:cs="Times New Roman"/>
          <w:highlight w:val="yellow"/>
          <w:lang w:val="sk-SK"/>
        </w:rPr>
        <w:t>[•]</w:t>
      </w:r>
      <w:r w:rsidR="00EA04A9" w:rsidRPr="00702F86">
        <w:rPr>
          <w:rFonts w:ascii="Times New Roman" w:hAnsi="Times New Roman" w:cs="Times New Roman"/>
          <w:lang w:val="sk-SK"/>
        </w:rPr>
        <w:t xml:space="preserve"> pracovných dní </w:t>
      </w:r>
      <w:r w:rsidRPr="00702F86">
        <w:rPr>
          <w:rFonts w:ascii="Times New Roman" w:hAnsi="Times New Roman" w:cs="Times New Roman"/>
          <w:lang w:val="sk-SK"/>
        </w:rPr>
        <w:t xml:space="preserve">povinný predložiť </w:t>
      </w:r>
      <w:r w:rsidR="00D345AF" w:rsidRPr="00702F86">
        <w:rPr>
          <w:rFonts w:ascii="Times New Roman" w:hAnsi="Times New Roman" w:cs="Times New Roman"/>
          <w:lang w:val="sk-SK"/>
        </w:rPr>
        <w:t>Prevádzkovateľ</w:t>
      </w:r>
      <w:r w:rsidRPr="00702F86">
        <w:rPr>
          <w:rFonts w:ascii="Times New Roman" w:hAnsi="Times New Roman" w:cs="Times New Roman"/>
          <w:lang w:val="sk-SK"/>
        </w:rPr>
        <w:t xml:space="preserve">ovi návrh opatrení na zabránenie </w:t>
      </w:r>
      <w:r w:rsidRPr="00702F86">
        <w:rPr>
          <w:rFonts w:ascii="Times New Roman" w:hAnsi="Times New Roman" w:cs="Times New Roman"/>
          <w:lang w:val="sk-SK"/>
        </w:rPr>
        <w:lastRenderedPageBreak/>
        <w:t>ďalšieho pokračovania, šírenia a opakovaného výskytu kybern</w:t>
      </w:r>
      <w:r w:rsidR="005F6494" w:rsidRPr="00702F86">
        <w:rPr>
          <w:rFonts w:ascii="Times New Roman" w:hAnsi="Times New Roman" w:cs="Times New Roman"/>
          <w:lang w:val="sk-SK"/>
        </w:rPr>
        <w:t>etického incidentu (ďalej len „</w:t>
      </w:r>
      <w:r w:rsidR="005F6494" w:rsidRPr="00702F86">
        <w:rPr>
          <w:rFonts w:ascii="Times New Roman" w:hAnsi="Times New Roman" w:cs="Times New Roman"/>
          <w:b/>
          <w:lang w:val="sk-SK"/>
        </w:rPr>
        <w:t>o</w:t>
      </w:r>
      <w:r w:rsidRPr="00702F86">
        <w:rPr>
          <w:rFonts w:ascii="Times New Roman" w:hAnsi="Times New Roman" w:cs="Times New Roman"/>
          <w:b/>
          <w:lang w:val="sk-SK"/>
        </w:rPr>
        <w:t>chranné opatrenie</w:t>
      </w:r>
      <w:r w:rsidRPr="00702F86">
        <w:rPr>
          <w:rFonts w:ascii="Times New Roman" w:hAnsi="Times New Roman" w:cs="Times New Roman"/>
          <w:lang w:val="sk-SK"/>
        </w:rPr>
        <w:t xml:space="preserve">“) na schválenie. </w:t>
      </w:r>
    </w:p>
    <w:p w14:paraId="06E19D4D" w14:textId="77777777" w:rsidR="00447A57" w:rsidRPr="00702F86" w:rsidRDefault="00447A57" w:rsidP="0032249B">
      <w:pPr>
        <w:pStyle w:val="Odsekzoznamu"/>
        <w:ind w:left="567" w:hanging="567"/>
        <w:jc w:val="both"/>
        <w:rPr>
          <w:rFonts w:ascii="Times New Roman" w:hAnsi="Times New Roman" w:cs="Times New Roman"/>
          <w:lang w:val="sk-SK"/>
        </w:rPr>
      </w:pPr>
    </w:p>
    <w:p w14:paraId="185C3657" w14:textId="77777777" w:rsidR="00341952" w:rsidRPr="00702F86" w:rsidRDefault="00D97782" w:rsidP="00E9599A">
      <w:pPr>
        <w:pStyle w:val="Odsekzoznamu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 xml:space="preserve">Po schválení ochranného opatrenia </w:t>
      </w:r>
      <w:r w:rsidR="00D345AF" w:rsidRPr="00702F86">
        <w:rPr>
          <w:rFonts w:ascii="Times New Roman" w:hAnsi="Times New Roman" w:cs="Times New Roman"/>
          <w:lang w:val="sk-SK"/>
        </w:rPr>
        <w:t>Prevádzkovateľ</w:t>
      </w:r>
      <w:r w:rsidRPr="00702F86">
        <w:rPr>
          <w:rFonts w:ascii="Times New Roman" w:hAnsi="Times New Roman" w:cs="Times New Roman"/>
          <w:lang w:val="sk-SK"/>
        </w:rPr>
        <w:t xml:space="preserve">om je </w:t>
      </w:r>
      <w:r w:rsidR="00217A4C" w:rsidRPr="00702F86">
        <w:rPr>
          <w:rFonts w:ascii="Times New Roman" w:hAnsi="Times New Roman" w:cs="Times New Roman"/>
          <w:lang w:val="sk-SK"/>
        </w:rPr>
        <w:t>Dodávateľ</w:t>
      </w:r>
      <w:r w:rsidRPr="00702F86">
        <w:rPr>
          <w:rFonts w:ascii="Times New Roman" w:hAnsi="Times New Roman" w:cs="Times New Roman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702F86">
        <w:rPr>
          <w:rFonts w:ascii="Times New Roman" w:hAnsi="Times New Roman" w:cs="Times New Roman"/>
          <w:lang w:val="sk-SK"/>
        </w:rPr>
        <w:t>Prevádzkovateľ</w:t>
      </w:r>
      <w:r w:rsidRPr="00702F86">
        <w:rPr>
          <w:rFonts w:ascii="Times New Roman" w:hAnsi="Times New Roman" w:cs="Times New Roman"/>
          <w:lang w:val="sk-SK"/>
        </w:rPr>
        <w:t>ovi.</w:t>
      </w:r>
    </w:p>
    <w:p w14:paraId="249D7742" w14:textId="77777777" w:rsidR="00447A57" w:rsidRPr="00702F86" w:rsidRDefault="00447A57" w:rsidP="0032249B">
      <w:pPr>
        <w:pStyle w:val="Odsekzoznamu"/>
        <w:ind w:left="567" w:hanging="567"/>
        <w:jc w:val="both"/>
        <w:rPr>
          <w:rFonts w:ascii="Times New Roman" w:hAnsi="Times New Roman" w:cs="Times New Roman"/>
          <w:lang w:val="sk-SK"/>
        </w:rPr>
      </w:pPr>
    </w:p>
    <w:p w14:paraId="16B61841" w14:textId="1BE95B1D" w:rsidR="00C81B25" w:rsidRPr="00702F86" w:rsidRDefault="00217A4C" w:rsidP="009D0D7C">
      <w:pPr>
        <w:pStyle w:val="Odsekzoznamu"/>
        <w:numPr>
          <w:ilvl w:val="0"/>
          <w:numId w:val="23"/>
        </w:numPr>
        <w:ind w:left="567" w:hanging="567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  <w:lang w:val="sk-SK"/>
        </w:rPr>
        <w:t>Dodávateľ</w:t>
      </w:r>
      <w:r w:rsidR="00D97782" w:rsidRPr="00702F86">
        <w:rPr>
          <w:rFonts w:ascii="Times New Roman" w:hAnsi="Times New Roman" w:cs="Times New Roman"/>
          <w:lang w:val="sk-SK"/>
        </w:rPr>
        <w:t xml:space="preserve"> je povinný informovať </w:t>
      </w:r>
      <w:r w:rsidR="00D345AF" w:rsidRPr="00702F86">
        <w:rPr>
          <w:rFonts w:ascii="Times New Roman" w:hAnsi="Times New Roman" w:cs="Times New Roman"/>
          <w:lang w:val="sk-SK"/>
        </w:rPr>
        <w:t>Prevádzkovateľ</w:t>
      </w:r>
      <w:r w:rsidR="00D97782" w:rsidRPr="00702F86">
        <w:rPr>
          <w:rFonts w:ascii="Times New Roman" w:hAnsi="Times New Roman" w:cs="Times New Roman"/>
          <w:lang w:val="sk-SK"/>
        </w:rPr>
        <w:t xml:space="preserve">a aj o akýchkoľvek iných </w:t>
      </w:r>
      <w:r w:rsidR="00FC0C6C" w:rsidRPr="00702F86">
        <w:rPr>
          <w:rFonts w:ascii="Times New Roman" w:hAnsi="Times New Roman" w:cs="Times New Roman"/>
          <w:lang w:val="sk-SK"/>
        </w:rPr>
        <w:t xml:space="preserve">Dodávateľovi známych a so zmluvou súvisiacich </w:t>
      </w:r>
      <w:r w:rsidR="00D97782" w:rsidRPr="00702F86">
        <w:rPr>
          <w:rFonts w:ascii="Times New Roman" w:hAnsi="Times New Roman" w:cs="Times New Roman"/>
          <w:lang w:val="sk-SK"/>
        </w:rPr>
        <w:t xml:space="preserve">skutočnostiach, ktoré </w:t>
      </w:r>
      <w:r w:rsidR="00FC0C6C" w:rsidRPr="00702F86">
        <w:rPr>
          <w:rFonts w:ascii="Times New Roman" w:hAnsi="Times New Roman" w:cs="Times New Roman"/>
          <w:lang w:val="sk-SK"/>
        </w:rPr>
        <w:t xml:space="preserve">podľa názoru Dodávateľa </w:t>
      </w:r>
      <w:r w:rsidR="00D97782" w:rsidRPr="00702F86">
        <w:rPr>
          <w:rFonts w:ascii="Times New Roman" w:hAnsi="Times New Roman" w:cs="Times New Roman"/>
          <w:lang w:val="sk-SK"/>
        </w:rPr>
        <w:t>môžu mať vplyv na zabezpečenie kybernetickej bezpečnosti</w:t>
      </w:r>
      <w:r w:rsidR="00FC0C6C" w:rsidRPr="00702F86">
        <w:rPr>
          <w:rFonts w:ascii="Times New Roman" w:hAnsi="Times New Roman" w:cs="Times New Roman"/>
          <w:lang w:val="sk-SK"/>
        </w:rPr>
        <w:t xml:space="preserve"> Prevádzkovateľa</w:t>
      </w:r>
      <w:r w:rsidR="00D554A7" w:rsidRPr="00702F86">
        <w:rPr>
          <w:rFonts w:ascii="Times New Roman" w:hAnsi="Times New Roman" w:cs="Times New Roman"/>
          <w:lang w:val="sk-SK"/>
        </w:rPr>
        <w:t>, a to zaslaním e-mailu kontaktnej osobe Prevádzkovateľa uvedenú v tejto zmluve.</w:t>
      </w:r>
    </w:p>
    <w:p w14:paraId="62CD3740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VII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75CD7095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Mlčanlivosť</w:t>
      </w:r>
    </w:p>
    <w:p w14:paraId="6564F844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6D953785" w14:textId="66538EC1" w:rsidR="00D97782" w:rsidRPr="00702F86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zachovávať mlčanlivosť o všetkých skutočnostiach, o ktorých sa dozvie v súvislosti s plnením </w:t>
      </w:r>
      <w:r w:rsidR="00686589" w:rsidRPr="00702F86">
        <w:rPr>
          <w:color w:val="auto"/>
          <w:sz w:val="22"/>
          <w:szCs w:val="22"/>
        </w:rPr>
        <w:t xml:space="preserve">dodávateľskej </w:t>
      </w:r>
      <w:r w:rsidR="00D97782" w:rsidRPr="00702F86">
        <w:rPr>
          <w:color w:val="auto"/>
          <w:sz w:val="22"/>
          <w:szCs w:val="22"/>
        </w:rPr>
        <w:t xml:space="preserve">zmluvy a tejto zmluvy a ktoré nie sú verejne známe, pokiaľ by sa mohli dotýkať oblasti kybernetickej bezpečnosti. V prípade pochybností platí, že skutočnosť sa dotýka kybernetickej bezpečnosti. </w:t>
      </w: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a.</w:t>
      </w:r>
    </w:p>
    <w:p w14:paraId="107FDBF6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14261C8D" w14:textId="77777777" w:rsidR="00D97782" w:rsidRPr="00702F86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1521F8D5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5353D247" w14:textId="77777777" w:rsidR="00C516E1" w:rsidRPr="00702F86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C516E1" w:rsidRPr="00702F86">
        <w:rPr>
          <w:color w:val="auto"/>
          <w:sz w:val="22"/>
          <w:szCs w:val="22"/>
        </w:rPr>
        <w:t xml:space="preserve"> je povinný chrániť všetky informácie ku ktorým má prístup na </w:t>
      </w:r>
      <w:r w:rsidR="00A0450B" w:rsidRPr="00702F86">
        <w:rPr>
          <w:color w:val="auto"/>
          <w:sz w:val="22"/>
          <w:szCs w:val="22"/>
        </w:rPr>
        <w:t xml:space="preserve">základe </w:t>
      </w:r>
      <w:r w:rsidR="00307F73" w:rsidRPr="00702F86">
        <w:rPr>
          <w:color w:val="auto"/>
          <w:sz w:val="22"/>
          <w:szCs w:val="22"/>
        </w:rPr>
        <w:t>dodávateľskej</w:t>
      </w:r>
      <w:r w:rsidR="00C516E1" w:rsidRPr="00702F86">
        <w:rPr>
          <w:color w:val="auto"/>
          <w:sz w:val="22"/>
          <w:szCs w:val="22"/>
        </w:rPr>
        <w:t xml:space="preserve"> zmluvy</w:t>
      </w:r>
      <w:r w:rsidR="00307F73" w:rsidRPr="00702F86">
        <w:rPr>
          <w:color w:val="auto"/>
          <w:sz w:val="22"/>
          <w:szCs w:val="22"/>
        </w:rPr>
        <w:t>,</w:t>
      </w:r>
      <w:r w:rsidR="00C516E1" w:rsidRPr="00702F86">
        <w:rPr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</w:t>
      </w:r>
      <w:r w:rsidR="00686589" w:rsidRPr="00702F86">
        <w:rPr>
          <w:color w:val="auto"/>
          <w:sz w:val="22"/>
          <w:szCs w:val="22"/>
        </w:rPr>
        <w:t xml:space="preserve">pri plnení dodávateľskej zmluvy a tejto zmluvy </w:t>
      </w:r>
      <w:r w:rsidR="00C516E1" w:rsidRPr="00702F86">
        <w:rPr>
          <w:color w:val="auto"/>
          <w:sz w:val="22"/>
          <w:szCs w:val="22"/>
        </w:rPr>
        <w:t xml:space="preserve">oboznámil v dôsledku vlastnej činnosti s tým, že všetci dotknutí zamestnanci </w:t>
      </w:r>
      <w:r w:rsidRPr="00702F86">
        <w:rPr>
          <w:color w:val="auto"/>
          <w:sz w:val="22"/>
          <w:szCs w:val="22"/>
        </w:rPr>
        <w:t>Dodávateľ</w:t>
      </w:r>
      <w:r w:rsidR="00C516E1" w:rsidRPr="00702F86">
        <w:rPr>
          <w:color w:val="auto"/>
          <w:sz w:val="22"/>
          <w:szCs w:val="22"/>
        </w:rPr>
        <w:t>a, jeho sub</w:t>
      </w:r>
      <w:r w:rsidR="00307F73" w:rsidRPr="00702F86">
        <w:rPr>
          <w:color w:val="auto"/>
          <w:sz w:val="22"/>
          <w:szCs w:val="22"/>
        </w:rPr>
        <w:t>dodávatelia</w:t>
      </w:r>
      <w:r w:rsidR="00C516E1" w:rsidRPr="00702F86">
        <w:rPr>
          <w:color w:val="auto"/>
          <w:sz w:val="22"/>
          <w:szCs w:val="22"/>
        </w:rPr>
        <w:t xml:space="preserve"> a/alebo iné tretie osoby, prostredníctvom ktorých </w:t>
      </w:r>
      <w:r w:rsidRPr="00702F86">
        <w:rPr>
          <w:color w:val="auto"/>
          <w:sz w:val="22"/>
          <w:szCs w:val="22"/>
        </w:rPr>
        <w:t>Dodávateľ</w:t>
      </w:r>
      <w:r w:rsidR="00C516E1" w:rsidRPr="00702F86">
        <w:rPr>
          <w:color w:val="auto"/>
          <w:sz w:val="22"/>
          <w:szCs w:val="22"/>
        </w:rPr>
        <w:t xml:space="preserve"> poskytuje služby podľa </w:t>
      </w:r>
      <w:r w:rsidR="00307F73" w:rsidRPr="00702F86">
        <w:rPr>
          <w:color w:val="auto"/>
          <w:sz w:val="22"/>
          <w:szCs w:val="22"/>
        </w:rPr>
        <w:t xml:space="preserve">dodávateľskej </w:t>
      </w:r>
      <w:r w:rsidR="00C516E1" w:rsidRPr="00702F86">
        <w:rPr>
          <w:color w:val="auto"/>
          <w:sz w:val="22"/>
          <w:szCs w:val="22"/>
        </w:rPr>
        <w:t>zmluvy (ďalej len „</w:t>
      </w:r>
      <w:r w:rsidR="00C516E1" w:rsidRPr="00702F86">
        <w:rPr>
          <w:b/>
          <w:bCs/>
          <w:color w:val="auto"/>
          <w:sz w:val="22"/>
          <w:szCs w:val="22"/>
        </w:rPr>
        <w:t>tretia osoba</w:t>
      </w:r>
      <w:r w:rsidR="00C516E1" w:rsidRPr="00702F86">
        <w:rPr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1B6D1E5" w14:textId="77777777" w:rsidR="00EA7F72" w:rsidRPr="00702F86" w:rsidRDefault="00EA7F7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6D9F31CE" w14:textId="77777777" w:rsidR="00EA7F72" w:rsidRPr="00702F86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zabezpečiť, aby v rovnakom rozsahu dodržiavali povinnosť mlčanlivosti aj jeho </w:t>
      </w:r>
      <w:r w:rsidR="00686589" w:rsidRPr="00702F86">
        <w:rPr>
          <w:color w:val="auto"/>
          <w:sz w:val="22"/>
          <w:szCs w:val="22"/>
        </w:rPr>
        <w:t xml:space="preserve">dotknutí </w:t>
      </w:r>
      <w:r w:rsidR="00D97782" w:rsidRPr="00702F86">
        <w:rPr>
          <w:color w:val="auto"/>
          <w:sz w:val="22"/>
          <w:szCs w:val="22"/>
        </w:rPr>
        <w:t>zamestnanci, subdodávatelia a ich zamestnanci, ako aj prípadná tretia osoba</w:t>
      </w:r>
      <w:r w:rsidR="00682B45" w:rsidRPr="00702F86">
        <w:rPr>
          <w:color w:val="auto"/>
          <w:sz w:val="22"/>
          <w:szCs w:val="22"/>
        </w:rPr>
        <w:t>,</w:t>
      </w:r>
      <w:r w:rsidR="00D97782" w:rsidRPr="00702F86">
        <w:rPr>
          <w:color w:val="auto"/>
          <w:sz w:val="22"/>
          <w:szCs w:val="22"/>
        </w:rPr>
        <w:t xml:space="preserve"> a to aj po zániku ich pracovnoprávneho alebo obdobného vzťahu.</w:t>
      </w:r>
    </w:p>
    <w:p w14:paraId="0F469018" w14:textId="77777777" w:rsidR="00EA7F72" w:rsidRPr="00702F86" w:rsidRDefault="00EA7F7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21129DB2" w14:textId="77777777" w:rsidR="00EA7F72" w:rsidRPr="00702F86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EA7F72" w:rsidRPr="00702F86">
        <w:rPr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702F86">
        <w:rPr>
          <w:color w:val="auto"/>
          <w:sz w:val="22"/>
          <w:szCs w:val="22"/>
        </w:rPr>
        <w:t xml:space="preserve"> Tento záväzok mlčanlivosti je Dodávateľ povinný preukázať </w:t>
      </w:r>
      <w:r w:rsidR="005675EB" w:rsidRPr="00702F86">
        <w:rPr>
          <w:color w:val="auto"/>
          <w:sz w:val="22"/>
          <w:szCs w:val="22"/>
        </w:rPr>
        <w:t>Prevádzkovateľ</w:t>
      </w:r>
      <w:r w:rsidR="00682B45" w:rsidRPr="00702F86">
        <w:rPr>
          <w:color w:val="auto"/>
          <w:sz w:val="22"/>
          <w:szCs w:val="22"/>
        </w:rPr>
        <w:t>ovi u každej z týchto osôb.</w:t>
      </w:r>
    </w:p>
    <w:p w14:paraId="6238793F" w14:textId="77777777" w:rsidR="00BB20ED" w:rsidRPr="00702F86" w:rsidRDefault="00BB20ED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2B905FF2" w14:textId="77777777" w:rsidR="00BB20ED" w:rsidRPr="00702F86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00702F86">
        <w:rPr>
          <w:color w:val="auto"/>
          <w:sz w:val="22"/>
          <w:szCs w:val="22"/>
        </w:rPr>
        <w:t>Touto zmluvou nie sú dotknuté ustanovenia o záväzkoch mlčanlivosti podľa</w:t>
      </w:r>
      <w:r w:rsidR="00307F73" w:rsidRPr="00702F86">
        <w:rPr>
          <w:color w:val="auto"/>
          <w:sz w:val="22"/>
          <w:szCs w:val="22"/>
        </w:rPr>
        <w:t xml:space="preserve"> dodávateľskej</w:t>
      </w:r>
      <w:r w:rsidR="00BB20ED" w:rsidRPr="00702F86">
        <w:rPr>
          <w:color w:val="auto"/>
          <w:sz w:val="22"/>
          <w:szCs w:val="22"/>
        </w:rPr>
        <w:t xml:space="preserve"> zmluvy alebo iných zmlúv uzatvorených medzi Prevádzkovateľom a </w:t>
      </w:r>
      <w:r w:rsidR="00217A4C" w:rsidRPr="00702F86">
        <w:rPr>
          <w:color w:val="auto"/>
          <w:sz w:val="22"/>
          <w:szCs w:val="22"/>
        </w:rPr>
        <w:t>Dodávateľ</w:t>
      </w:r>
      <w:r w:rsidR="00BB20ED" w:rsidRPr="00702F86">
        <w:rPr>
          <w:color w:val="auto"/>
          <w:sz w:val="22"/>
          <w:szCs w:val="22"/>
        </w:rPr>
        <w:t xml:space="preserve">om. </w:t>
      </w:r>
    </w:p>
    <w:p w14:paraId="5CBD9CA1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712EC4E5" w14:textId="77777777" w:rsidR="00DA537A" w:rsidRPr="00702F86" w:rsidRDefault="00DA537A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A44816D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</w:t>
      </w:r>
      <w:r w:rsidR="0093664F" w:rsidRPr="00702F86">
        <w:rPr>
          <w:b/>
          <w:bCs/>
          <w:color w:val="auto"/>
          <w:sz w:val="22"/>
          <w:szCs w:val="22"/>
        </w:rPr>
        <w:t>VIII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2125EC5F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Audit kybernetickej bezpečnosti</w:t>
      </w:r>
    </w:p>
    <w:p w14:paraId="46E9ADB6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0DB9F79C" w14:textId="77777777" w:rsidR="00776E96" w:rsidRPr="00702F86" w:rsidRDefault="005675EB" w:rsidP="00C24D2F">
      <w:pPr>
        <w:pStyle w:val="Odsekzoznamu"/>
        <w:numPr>
          <w:ilvl w:val="0"/>
          <w:numId w:val="27"/>
        </w:numPr>
        <w:spacing w:after="27"/>
        <w:ind w:left="567" w:hanging="567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  <w:lang w:val="sk-SK"/>
        </w:rPr>
        <w:t>Prevádzkovateľ</w:t>
      </w:r>
      <w:r w:rsidR="00776E96" w:rsidRPr="00702F86">
        <w:rPr>
          <w:rFonts w:ascii="Times New Roman" w:hAnsi="Times New Roman" w:cs="Times New Roman"/>
          <w:lang w:val="sk-SK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702F86">
        <w:rPr>
          <w:rFonts w:ascii="Times New Roman" w:hAnsi="Times New Roman" w:cs="Times New Roman"/>
          <w:lang w:val="sk-SK"/>
        </w:rPr>
        <w:t>Prevádzkovateľ</w:t>
      </w:r>
      <w:r w:rsidR="00776E96" w:rsidRPr="00702F86">
        <w:rPr>
          <w:rFonts w:ascii="Times New Roman" w:hAnsi="Times New Roman" w:cs="Times New Roman"/>
          <w:lang w:val="sk-SK"/>
        </w:rPr>
        <w:t xml:space="preserve">a spojené s vykonaním </w:t>
      </w:r>
      <w:r w:rsidR="00776E96" w:rsidRPr="00702F86">
        <w:rPr>
          <w:rFonts w:ascii="Times New Roman" w:hAnsi="Times New Roman" w:cs="Times New Roman"/>
          <w:lang w:val="sk-SK"/>
        </w:rPr>
        <w:lastRenderedPageBreak/>
        <w:t xml:space="preserve">auditu znáša </w:t>
      </w:r>
      <w:r w:rsidRPr="00702F86">
        <w:rPr>
          <w:rFonts w:ascii="Times New Roman" w:hAnsi="Times New Roman" w:cs="Times New Roman"/>
          <w:lang w:val="sk-SK"/>
        </w:rPr>
        <w:t>Prevádzkovateľ</w:t>
      </w:r>
      <w:r w:rsidR="00776E96" w:rsidRPr="00702F86">
        <w:rPr>
          <w:rFonts w:ascii="Times New Roman" w:hAnsi="Times New Roman" w:cs="Times New Roman"/>
          <w:lang w:val="sk-SK"/>
        </w:rPr>
        <w:t>.</w:t>
      </w:r>
      <w:r w:rsidR="006633C9" w:rsidRPr="00702F86">
        <w:rPr>
          <w:rFonts w:ascii="Times New Roman" w:hAnsi="Times New Roman" w:cs="Times New Roman"/>
          <w:lang w:val="sk-SK"/>
        </w:rPr>
        <w:t xml:space="preserve"> Náklady Dodávateľa vzniknuté v rámci auditu/kontrolu podľa tohto článku Zmluvy znáša Dodávateľ, avšak len náklady za jeden audit za kalendárny rok v rozsahu práce jeden (1) človekodeň vykonaný zamestnancom Dodávateľa. V prípade, ak bude Prevádzkovateľ požadovať vykonanie auditu nad rámec tohto rozsahu alebo kontrolu viac ako jedenkrát (1) do roka, Prevádzkovateľ sa zaväzuje v plnom rozsahu znášať a nahradiť Dodávateľovi všetky náklady s tým spojené, v opačnom prípade je Dodávateľ oprávnený odoprieť Prevádzkovateľovi vykonanie auditu nad rámec dohodnutého rozsahu.</w:t>
      </w:r>
    </w:p>
    <w:p w14:paraId="325CE301" w14:textId="77777777" w:rsidR="003B3203" w:rsidRPr="00702F86" w:rsidRDefault="003B3203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307D7435" w14:textId="77777777" w:rsidR="00776E96" w:rsidRPr="00702F86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776E96" w:rsidRPr="00702F86">
        <w:rPr>
          <w:color w:val="auto"/>
          <w:sz w:val="22"/>
          <w:szCs w:val="22"/>
        </w:rPr>
        <w:t xml:space="preserve"> sa zaväzuje, že </w:t>
      </w:r>
      <w:r w:rsidR="005675EB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ovi </w:t>
      </w:r>
      <w:r w:rsidR="00776E96" w:rsidRPr="00702F86">
        <w:rPr>
          <w:color w:val="auto"/>
          <w:sz w:val="22"/>
          <w:szCs w:val="22"/>
        </w:rPr>
        <w:t xml:space="preserve">umožní kedykoľvek vykonať audit, ktorým si </w:t>
      </w:r>
      <w:r w:rsidR="005675EB" w:rsidRPr="00702F86">
        <w:rPr>
          <w:color w:val="auto"/>
          <w:sz w:val="22"/>
          <w:szCs w:val="22"/>
        </w:rPr>
        <w:t>Prevádzkovateľ</w:t>
      </w:r>
      <w:r w:rsidR="00776E96" w:rsidRPr="00702F86">
        <w:rPr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57DFDCBC" w14:textId="77777777" w:rsidR="003B3203" w:rsidRPr="00702F86" w:rsidRDefault="003B3203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4223FD13" w14:textId="77777777" w:rsidR="00BB5DE5" w:rsidRPr="00702F86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Prípadné nedostatky zistené auditom</w:t>
      </w:r>
      <w:r w:rsidR="00027F4A" w:rsidRPr="00702F86">
        <w:rPr>
          <w:color w:val="auto"/>
          <w:sz w:val="22"/>
          <w:szCs w:val="22"/>
        </w:rPr>
        <w:t xml:space="preserve"> </w:t>
      </w:r>
      <w:r w:rsidRPr="00702F86">
        <w:rPr>
          <w:color w:val="auto"/>
          <w:sz w:val="22"/>
          <w:szCs w:val="22"/>
        </w:rPr>
        <w:t xml:space="preserve">je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 povinný odstrániť bez zbytočného odkladu, najneskôr však v lehote 60 kalendárnych dní</w:t>
      </w:r>
      <w:r w:rsidR="00027F4A" w:rsidRPr="00702F86">
        <w:rPr>
          <w:color w:val="auto"/>
          <w:sz w:val="22"/>
          <w:szCs w:val="22"/>
        </w:rPr>
        <w:t>, ak sa zmluvné strany nedohodnú inak</w:t>
      </w:r>
      <w:r w:rsidRPr="00702F86">
        <w:rPr>
          <w:color w:val="auto"/>
          <w:sz w:val="22"/>
          <w:szCs w:val="22"/>
        </w:rPr>
        <w:t>.</w:t>
      </w:r>
    </w:p>
    <w:p w14:paraId="79B0A780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0916E565" w14:textId="77777777" w:rsidR="00D97782" w:rsidRPr="00702F86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Prevádzkovateľ môže audit u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a realizovať sám alebo prostredníctvom </w:t>
      </w:r>
      <w:r w:rsidR="00027F4A" w:rsidRPr="00702F86">
        <w:rPr>
          <w:color w:val="auto"/>
          <w:sz w:val="22"/>
          <w:szCs w:val="22"/>
        </w:rPr>
        <w:t xml:space="preserve">písomne poverenej </w:t>
      </w:r>
      <w:r w:rsidRPr="00702F86">
        <w:rPr>
          <w:color w:val="auto"/>
          <w:sz w:val="22"/>
          <w:szCs w:val="22"/>
        </w:rPr>
        <w:t xml:space="preserve">tretej osoby, v takom prípade práva a povinnosti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a pri výkone auditu realizuje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om </w:t>
      </w:r>
      <w:r w:rsidR="00027F4A" w:rsidRPr="00702F86">
        <w:rPr>
          <w:color w:val="auto"/>
          <w:sz w:val="22"/>
          <w:szCs w:val="22"/>
        </w:rPr>
        <w:t xml:space="preserve">písomne </w:t>
      </w:r>
      <w:r w:rsidRPr="00702F86">
        <w:rPr>
          <w:color w:val="auto"/>
          <w:sz w:val="22"/>
          <w:szCs w:val="22"/>
        </w:rPr>
        <w:t>poverená tretia osoba.</w:t>
      </w:r>
    </w:p>
    <w:p w14:paraId="4E6B0BF6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7BB6C603" w14:textId="2E987EF2" w:rsidR="00BB5DE5" w:rsidRPr="00702F86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pri audite povinný spolupracovať s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702F86">
        <w:rPr>
          <w:color w:val="auto"/>
          <w:sz w:val="22"/>
          <w:szCs w:val="22"/>
        </w:rPr>
        <w:t>ia</w:t>
      </w:r>
      <w:r w:rsidR="00D97782" w:rsidRPr="00702F86">
        <w:rPr>
          <w:color w:val="auto"/>
          <w:sz w:val="22"/>
          <w:szCs w:val="22"/>
        </w:rPr>
        <w:t xml:space="preserve"> s plnením úloh na úseku kybernetickej</w:t>
      </w:r>
      <w:r w:rsidR="00776E96" w:rsidRPr="00702F86">
        <w:rPr>
          <w:color w:val="auto"/>
          <w:sz w:val="22"/>
          <w:szCs w:val="22"/>
        </w:rPr>
        <w:t xml:space="preserve"> bezpečnosti podľa tejto zmluvy, umožniť osobám určených </w:t>
      </w:r>
      <w:r w:rsidR="005675EB" w:rsidRPr="00702F86">
        <w:rPr>
          <w:color w:val="auto"/>
          <w:sz w:val="22"/>
          <w:szCs w:val="22"/>
        </w:rPr>
        <w:t>Prevádzkovateľ</w:t>
      </w:r>
      <w:r w:rsidR="00776E96" w:rsidRPr="00702F86">
        <w:rPr>
          <w:color w:val="auto"/>
          <w:sz w:val="22"/>
          <w:szCs w:val="22"/>
        </w:rPr>
        <w:t>om vstup do svojich priestorov a zabezpečiť im dokumentáciu a technické vybavenie potrebné na plnenie úloh podľa tejto zmluvy.</w:t>
      </w:r>
    </w:p>
    <w:p w14:paraId="2DD765A4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3B63047E" w14:textId="77777777" w:rsidR="00D97782" w:rsidRPr="00702F86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>a</w:t>
      </w:r>
      <w:r w:rsidR="0051014E" w:rsidRPr="00702F86">
        <w:rPr>
          <w:color w:val="auto"/>
          <w:sz w:val="22"/>
          <w:szCs w:val="22"/>
        </w:rPr>
        <w:t xml:space="preserve"> a ďalším osobám</w:t>
      </w:r>
      <w:r w:rsidRPr="00702F86">
        <w:rPr>
          <w:color w:val="auto"/>
          <w:sz w:val="22"/>
          <w:szCs w:val="22"/>
        </w:rPr>
        <w:t>, ktor</w:t>
      </w:r>
      <w:r w:rsidR="0051014E" w:rsidRPr="00702F86">
        <w:rPr>
          <w:color w:val="auto"/>
          <w:sz w:val="22"/>
          <w:szCs w:val="22"/>
        </w:rPr>
        <w:t>é</w:t>
      </w:r>
      <w:r w:rsidRPr="00702F86">
        <w:rPr>
          <w:color w:val="auto"/>
          <w:sz w:val="22"/>
          <w:szCs w:val="22"/>
        </w:rPr>
        <w:t xml:space="preserve"> sa podieľajú na plnení úloh </w:t>
      </w:r>
      <w:r w:rsidR="0051014E" w:rsidRPr="00702F86">
        <w:rPr>
          <w:color w:val="auto"/>
          <w:sz w:val="22"/>
          <w:szCs w:val="22"/>
        </w:rPr>
        <w:t>n</w:t>
      </w:r>
      <w:r w:rsidRPr="00702F86">
        <w:rPr>
          <w:color w:val="auto"/>
          <w:sz w:val="22"/>
          <w:szCs w:val="22"/>
        </w:rPr>
        <w:t>a úseku kybernetickej bezpečnosti podľa tejto zmluvy.</w:t>
      </w:r>
    </w:p>
    <w:p w14:paraId="60B02D4A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61C64FB7" w14:textId="70D70E64" w:rsidR="00D97782" w:rsidRPr="00702F86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V rámci auditu je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 povinný preukázať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702F86">
        <w:rPr>
          <w:color w:val="auto"/>
          <w:sz w:val="22"/>
          <w:szCs w:val="22"/>
        </w:rPr>
        <w:t xml:space="preserve"> a ďalších osôb, ktoré sa budú v mene </w:t>
      </w:r>
      <w:r w:rsidR="00217A4C" w:rsidRPr="00702F86">
        <w:rPr>
          <w:color w:val="auto"/>
          <w:sz w:val="22"/>
          <w:szCs w:val="22"/>
        </w:rPr>
        <w:t>Dodávateľ</w:t>
      </w:r>
      <w:r w:rsidR="002E3D46" w:rsidRPr="00702F86">
        <w:rPr>
          <w:color w:val="auto"/>
          <w:sz w:val="22"/>
          <w:szCs w:val="22"/>
        </w:rPr>
        <w:t>a podieľať na plnení tejto zmluvy</w:t>
      </w:r>
      <w:r w:rsidRPr="00702F86">
        <w:rPr>
          <w:color w:val="auto"/>
          <w:sz w:val="22"/>
          <w:szCs w:val="22"/>
        </w:rPr>
        <w:t>, záväzok a poučenie svojich zamestnancov, sub</w:t>
      </w:r>
      <w:r w:rsidR="00776E96" w:rsidRPr="00702F86">
        <w:rPr>
          <w:color w:val="auto"/>
          <w:sz w:val="22"/>
          <w:szCs w:val="22"/>
        </w:rPr>
        <w:t>d</w:t>
      </w:r>
      <w:r w:rsidR="00217A4C" w:rsidRPr="00702F86">
        <w:rPr>
          <w:color w:val="auto"/>
          <w:sz w:val="22"/>
          <w:szCs w:val="22"/>
        </w:rPr>
        <w:t>odávateľ</w:t>
      </w:r>
      <w:r w:rsidRPr="00702F86">
        <w:rPr>
          <w:color w:val="auto"/>
          <w:sz w:val="22"/>
          <w:szCs w:val="22"/>
        </w:rPr>
        <w:t>ov a ich zamestnancov a/alebo tret</w:t>
      </w:r>
      <w:r w:rsidR="00C513E7" w:rsidRPr="00702F86">
        <w:rPr>
          <w:color w:val="auto"/>
          <w:sz w:val="22"/>
          <w:szCs w:val="22"/>
        </w:rPr>
        <w:t>ích</w:t>
      </w:r>
      <w:r w:rsidRPr="00702F86">
        <w:rPr>
          <w:color w:val="auto"/>
          <w:sz w:val="22"/>
          <w:szCs w:val="22"/>
        </w:rPr>
        <w:t xml:space="preserve"> os</w:t>
      </w:r>
      <w:r w:rsidR="00C513E7" w:rsidRPr="00702F86">
        <w:rPr>
          <w:color w:val="auto"/>
          <w:sz w:val="22"/>
          <w:szCs w:val="22"/>
        </w:rPr>
        <w:t>ôb</w:t>
      </w:r>
      <w:r w:rsidRPr="00702F86">
        <w:rPr>
          <w:color w:val="auto"/>
          <w:sz w:val="22"/>
          <w:szCs w:val="22"/>
        </w:rPr>
        <w:t xml:space="preserve"> o povinnosti mlčanlivosti podľa tejto zmluvy a aktuálnosť svojej bezpečnostnej dokumentácie</w:t>
      </w:r>
      <w:r w:rsidR="005E0EF4" w:rsidRPr="00702F86">
        <w:rPr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702F86">
        <w:rPr>
          <w:color w:val="auto"/>
          <w:sz w:val="22"/>
          <w:szCs w:val="22"/>
        </w:rPr>
        <w:t>.</w:t>
      </w:r>
    </w:p>
    <w:p w14:paraId="0FED0589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12FA1B62" w14:textId="77777777" w:rsidR="00D97782" w:rsidRPr="00702F86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Prevádzkovateľ je povinný oznámiť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ovi najmenej </w:t>
      </w:r>
      <w:r w:rsidR="00776E96" w:rsidRPr="00702F86">
        <w:rPr>
          <w:color w:val="auto"/>
          <w:sz w:val="22"/>
          <w:szCs w:val="22"/>
        </w:rPr>
        <w:t>10</w:t>
      </w:r>
      <w:r w:rsidRPr="00702F86">
        <w:rPr>
          <w:color w:val="auto"/>
          <w:sz w:val="22"/>
          <w:szCs w:val="22"/>
        </w:rPr>
        <w:t xml:space="preserve"> pracovn</w:t>
      </w:r>
      <w:r w:rsidR="00722670" w:rsidRPr="00702F86">
        <w:rPr>
          <w:color w:val="auto"/>
          <w:sz w:val="22"/>
          <w:szCs w:val="22"/>
        </w:rPr>
        <w:t>ých</w:t>
      </w:r>
      <w:r w:rsidRPr="00702F86">
        <w:rPr>
          <w:color w:val="auto"/>
          <w:sz w:val="22"/>
          <w:szCs w:val="22"/>
        </w:rPr>
        <w:t xml:space="preserve"> dn</w:t>
      </w:r>
      <w:r w:rsidR="00722670" w:rsidRPr="00702F86">
        <w:rPr>
          <w:color w:val="auto"/>
          <w:sz w:val="22"/>
          <w:szCs w:val="22"/>
        </w:rPr>
        <w:t>í</w:t>
      </w:r>
      <w:r w:rsidRPr="00702F86">
        <w:rPr>
          <w:color w:val="auto"/>
          <w:sz w:val="22"/>
          <w:szCs w:val="22"/>
        </w:rPr>
        <w:t xml:space="preserve"> vopred svoj zámer vykonať u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>a audit.</w:t>
      </w:r>
    </w:p>
    <w:p w14:paraId="1FF94470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38C33B41" w14:textId="77777777" w:rsidR="00D97782" w:rsidRPr="00702F86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Vykonanie alebo nevykonanie auditu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om nezbavuje zodpovednosti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>a za plnenie jeho povinností vyplývajúcich z tejto zmluvy.</w:t>
      </w:r>
    </w:p>
    <w:p w14:paraId="34C4F9CA" w14:textId="77777777" w:rsidR="00BB5DE5" w:rsidRPr="00702F86" w:rsidRDefault="00BB5DE5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5F4C0999" w14:textId="455E83D5" w:rsidR="00776E96" w:rsidRPr="00702F86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Prevádzkovateľ</w:t>
      </w:r>
      <w:r w:rsidR="00776E96" w:rsidRPr="00702F86">
        <w:rPr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702F86">
        <w:rPr>
          <w:color w:val="auto"/>
          <w:sz w:val="22"/>
          <w:szCs w:val="22"/>
        </w:rPr>
        <w:t>Prevádzkovateľ</w:t>
      </w:r>
      <w:r w:rsidR="00776E96" w:rsidRPr="00702F86">
        <w:rPr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702F86">
        <w:rPr>
          <w:b/>
          <w:color w:val="auto"/>
          <w:sz w:val="22"/>
          <w:szCs w:val="22"/>
        </w:rPr>
        <w:t>BOZP</w:t>
      </w:r>
      <w:r w:rsidR="00776E96" w:rsidRPr="00702F86">
        <w:rPr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702F86">
        <w:rPr>
          <w:b/>
          <w:color w:val="auto"/>
          <w:sz w:val="22"/>
          <w:szCs w:val="22"/>
        </w:rPr>
        <w:t>PO</w:t>
      </w:r>
      <w:r w:rsidR="00776E96" w:rsidRPr="00702F86">
        <w:rPr>
          <w:color w:val="auto"/>
          <w:sz w:val="22"/>
          <w:szCs w:val="22"/>
        </w:rPr>
        <w:t xml:space="preserve">“), pričom zodpovednosť za to, že tieto osoby budú dodržiavať uvedené pokyny, nesie </w:t>
      </w:r>
      <w:r w:rsidRPr="00702F86">
        <w:rPr>
          <w:color w:val="auto"/>
          <w:sz w:val="22"/>
          <w:szCs w:val="22"/>
        </w:rPr>
        <w:t>Prevádzkovateľ</w:t>
      </w:r>
      <w:r w:rsidR="00776E96" w:rsidRPr="00702F86">
        <w:rPr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C513E7" w:rsidRPr="00702F86">
        <w:rPr>
          <w:color w:val="auto"/>
          <w:sz w:val="22"/>
          <w:szCs w:val="22"/>
        </w:rPr>
        <w:t xml:space="preserve">Prevádzkovateľom </w:t>
      </w:r>
      <w:r w:rsidR="00776E96" w:rsidRPr="00702F86">
        <w:rPr>
          <w:color w:val="auto"/>
          <w:sz w:val="22"/>
          <w:szCs w:val="22"/>
        </w:rPr>
        <w:t xml:space="preserve">o nebezpečenstvách </w:t>
      </w:r>
      <w:r w:rsidR="00776E96" w:rsidRPr="00702F86">
        <w:rPr>
          <w:color w:val="auto"/>
          <w:sz w:val="22"/>
          <w:szCs w:val="22"/>
        </w:rPr>
        <w:lastRenderedPageBreak/>
        <w:t>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0319120C" w14:textId="77777777" w:rsidR="00C81B25" w:rsidRPr="00702F86" w:rsidRDefault="00C81B25" w:rsidP="00D97782">
      <w:pPr>
        <w:pStyle w:val="Default"/>
        <w:jc w:val="center"/>
        <w:rPr>
          <w:color w:val="auto"/>
          <w:sz w:val="22"/>
          <w:szCs w:val="22"/>
        </w:rPr>
      </w:pPr>
    </w:p>
    <w:p w14:paraId="655F81A2" w14:textId="77777777" w:rsidR="008E1AD7" w:rsidRPr="00702F86" w:rsidRDefault="008E1AD7" w:rsidP="00D97782">
      <w:pPr>
        <w:pStyle w:val="Default"/>
        <w:jc w:val="center"/>
        <w:rPr>
          <w:color w:val="auto"/>
          <w:sz w:val="22"/>
          <w:szCs w:val="22"/>
        </w:rPr>
      </w:pPr>
    </w:p>
    <w:p w14:paraId="1BFCFEAB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</w:t>
      </w:r>
      <w:r w:rsidR="0093664F" w:rsidRPr="00702F86">
        <w:rPr>
          <w:b/>
          <w:bCs/>
          <w:color w:val="auto"/>
          <w:sz w:val="22"/>
          <w:szCs w:val="22"/>
        </w:rPr>
        <w:t>I</w:t>
      </w:r>
      <w:r w:rsidR="00D97782" w:rsidRPr="00702F86">
        <w:rPr>
          <w:b/>
          <w:bCs/>
          <w:color w:val="auto"/>
          <w:sz w:val="22"/>
          <w:szCs w:val="22"/>
        </w:rPr>
        <w:t>X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53C29F4A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Osobitné ustanovenia</w:t>
      </w:r>
    </w:p>
    <w:p w14:paraId="6C65CA6C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18138AB2" w14:textId="2B51C563" w:rsidR="00D97782" w:rsidRPr="00702F86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plniť povinnosti podľa tejto zmluvy</w:t>
      </w:r>
      <w:r w:rsidR="00B228C7" w:rsidRPr="00702F86">
        <w:rPr>
          <w:color w:val="auto"/>
          <w:sz w:val="22"/>
          <w:szCs w:val="22"/>
        </w:rPr>
        <w:t>.</w:t>
      </w:r>
    </w:p>
    <w:p w14:paraId="40BC9313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1D631386" w14:textId="77777777" w:rsidR="00D97782" w:rsidRPr="00702F86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a alebo by sa mohli týkať kybernetickej bezpečnosti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a tak, aby nebola narušená ich dostupnosť, dôvernosť, autentickosť a integrita.</w:t>
      </w:r>
    </w:p>
    <w:p w14:paraId="7CF0CA6D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3C92B421" w14:textId="77777777" w:rsidR="00D97782" w:rsidRPr="00702F86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702F86">
        <w:rPr>
          <w:color w:val="auto"/>
          <w:sz w:val="22"/>
          <w:szCs w:val="22"/>
        </w:rPr>
        <w:t xml:space="preserve">a riešenia </w:t>
      </w:r>
      <w:r w:rsidR="00D97782" w:rsidRPr="00702F86">
        <w:rPr>
          <w:color w:val="auto"/>
          <w:sz w:val="22"/>
          <w:szCs w:val="22"/>
        </w:rPr>
        <w:t>kybernetických incidentov a dokumentovania školení svojich zamestnancov</w:t>
      </w:r>
      <w:r w:rsidR="00336579" w:rsidRPr="00702F86">
        <w:rPr>
          <w:color w:val="auto"/>
          <w:sz w:val="22"/>
          <w:szCs w:val="22"/>
        </w:rPr>
        <w:t xml:space="preserve"> a ďalších osôb, ktoré sa budú v mene </w:t>
      </w:r>
      <w:r w:rsidRPr="00702F86">
        <w:rPr>
          <w:color w:val="auto"/>
          <w:sz w:val="22"/>
          <w:szCs w:val="22"/>
        </w:rPr>
        <w:t>Dodávateľ</w:t>
      </w:r>
      <w:r w:rsidR="00336579" w:rsidRPr="00702F86">
        <w:rPr>
          <w:color w:val="auto"/>
          <w:sz w:val="22"/>
          <w:szCs w:val="22"/>
        </w:rPr>
        <w:t>a podieľať na plnení tejto zmluvy</w:t>
      </w:r>
      <w:r w:rsidR="00D97782" w:rsidRPr="00702F86">
        <w:rPr>
          <w:color w:val="auto"/>
          <w:sz w:val="22"/>
          <w:szCs w:val="22"/>
        </w:rPr>
        <w:t xml:space="preserve">) a na žiadosť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 xml:space="preserve">a mu predložiť </w:t>
      </w:r>
      <w:r w:rsidR="00336579" w:rsidRPr="00702F86">
        <w:rPr>
          <w:color w:val="auto"/>
          <w:sz w:val="22"/>
          <w:szCs w:val="22"/>
        </w:rPr>
        <w:t xml:space="preserve">túto </w:t>
      </w:r>
      <w:r w:rsidR="00D97782" w:rsidRPr="00702F86">
        <w:rPr>
          <w:color w:val="auto"/>
          <w:sz w:val="22"/>
          <w:szCs w:val="22"/>
        </w:rPr>
        <w:t>dokumentáciu.</w:t>
      </w:r>
    </w:p>
    <w:p w14:paraId="63152BA1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3E37B0EE" w14:textId="77777777" w:rsidR="00D97782" w:rsidRPr="00702F86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V prípade, ak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 plní </w:t>
      </w:r>
      <w:r w:rsidR="0002259D" w:rsidRPr="00702F86">
        <w:rPr>
          <w:color w:val="auto"/>
          <w:sz w:val="22"/>
          <w:szCs w:val="22"/>
        </w:rPr>
        <w:t>dodávateľskú</w:t>
      </w:r>
      <w:r w:rsidRPr="00702F86">
        <w:rPr>
          <w:color w:val="auto"/>
          <w:sz w:val="22"/>
          <w:szCs w:val="22"/>
        </w:rPr>
        <w:t xml:space="preserve"> </w:t>
      </w:r>
      <w:r w:rsidR="008B6BEE" w:rsidRPr="00702F86">
        <w:rPr>
          <w:color w:val="auto"/>
          <w:sz w:val="22"/>
          <w:szCs w:val="22"/>
        </w:rPr>
        <w:t>zmluvu</w:t>
      </w:r>
      <w:r w:rsidR="00A0450B" w:rsidRPr="00702F86">
        <w:rPr>
          <w:color w:val="auto"/>
          <w:sz w:val="22"/>
          <w:szCs w:val="22"/>
        </w:rPr>
        <w:t xml:space="preserve"> </w:t>
      </w:r>
      <w:r w:rsidRPr="00702F86">
        <w:rPr>
          <w:color w:val="auto"/>
          <w:sz w:val="22"/>
          <w:szCs w:val="22"/>
        </w:rPr>
        <w:t>prostredníctvom svojich sub</w:t>
      </w:r>
      <w:r w:rsidR="0002259D" w:rsidRPr="00702F86">
        <w:rPr>
          <w:color w:val="auto"/>
          <w:sz w:val="22"/>
          <w:szCs w:val="22"/>
        </w:rPr>
        <w:t>d</w:t>
      </w:r>
      <w:r w:rsidR="00217A4C" w:rsidRPr="00702F86">
        <w:rPr>
          <w:color w:val="auto"/>
          <w:sz w:val="22"/>
          <w:szCs w:val="22"/>
        </w:rPr>
        <w:t>odávateľ</w:t>
      </w:r>
      <w:r w:rsidRPr="00702F86">
        <w:rPr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00702F86">
        <w:rPr>
          <w:color w:val="auto"/>
          <w:sz w:val="22"/>
          <w:szCs w:val="22"/>
        </w:rPr>
        <w:t>d</w:t>
      </w:r>
      <w:r w:rsidR="00217A4C" w:rsidRPr="00702F86">
        <w:rPr>
          <w:color w:val="auto"/>
          <w:sz w:val="22"/>
          <w:szCs w:val="22"/>
        </w:rPr>
        <w:t>odávateľ</w:t>
      </w:r>
      <w:r w:rsidRPr="00702F86">
        <w:rPr>
          <w:color w:val="auto"/>
          <w:sz w:val="22"/>
          <w:szCs w:val="22"/>
        </w:rPr>
        <w:t xml:space="preserve">ov tak, aby boli naplnené ciele tejto zmluvy.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 je povinný zabezpečiť, aby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 mohol vykonať audit v súlade s touto zmluvou aj u týchto sub</w:t>
      </w:r>
      <w:r w:rsidR="0002259D" w:rsidRPr="00702F86">
        <w:rPr>
          <w:color w:val="auto"/>
          <w:sz w:val="22"/>
          <w:szCs w:val="22"/>
        </w:rPr>
        <w:t>d</w:t>
      </w:r>
      <w:r w:rsidR="00217A4C" w:rsidRPr="00702F86">
        <w:rPr>
          <w:color w:val="auto"/>
          <w:sz w:val="22"/>
          <w:szCs w:val="22"/>
        </w:rPr>
        <w:t>odávateľ</w:t>
      </w:r>
      <w:r w:rsidRPr="00702F86">
        <w:rPr>
          <w:color w:val="auto"/>
          <w:sz w:val="22"/>
          <w:szCs w:val="22"/>
        </w:rPr>
        <w:t>ov.</w:t>
      </w:r>
      <w:r w:rsidR="00336579" w:rsidRPr="00702F86">
        <w:rPr>
          <w:color w:val="auto"/>
          <w:sz w:val="22"/>
          <w:szCs w:val="22"/>
        </w:rPr>
        <w:t xml:space="preserve"> </w:t>
      </w:r>
    </w:p>
    <w:p w14:paraId="798B7472" w14:textId="77777777" w:rsidR="00D97782" w:rsidRPr="00702F86" w:rsidRDefault="00D97782" w:rsidP="00E9599A">
      <w:pPr>
        <w:pStyle w:val="Default"/>
        <w:spacing w:after="27"/>
        <w:ind w:left="567" w:hanging="567"/>
        <w:jc w:val="both"/>
        <w:rPr>
          <w:color w:val="auto"/>
          <w:sz w:val="22"/>
          <w:szCs w:val="22"/>
        </w:rPr>
      </w:pPr>
    </w:p>
    <w:p w14:paraId="75FF3F62" w14:textId="77777777" w:rsidR="00D97782" w:rsidRPr="00702F86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Všetky informácie, ktoré majú vplyv na plnenie tejto zmluv</w:t>
      </w:r>
      <w:r w:rsidR="00BD0E12" w:rsidRPr="00702F86">
        <w:rPr>
          <w:color w:val="auto"/>
          <w:sz w:val="22"/>
          <w:szCs w:val="22"/>
        </w:rPr>
        <w:t>y</w:t>
      </w:r>
      <w:r w:rsidRPr="00702F86">
        <w:rPr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00702F86">
        <w:rPr>
          <w:color w:val="auto"/>
          <w:sz w:val="22"/>
          <w:szCs w:val="22"/>
        </w:rPr>
        <w:t xml:space="preserve">e-mailové </w:t>
      </w:r>
      <w:r w:rsidRPr="00702F86">
        <w:rPr>
          <w:color w:val="auto"/>
          <w:sz w:val="22"/>
          <w:szCs w:val="22"/>
        </w:rPr>
        <w:t>adresy</w:t>
      </w:r>
      <w:r w:rsidR="0002259D" w:rsidRPr="00702F86">
        <w:rPr>
          <w:color w:val="auto"/>
          <w:sz w:val="22"/>
          <w:szCs w:val="22"/>
        </w:rPr>
        <w:t xml:space="preserve"> kontaktných osôb</w:t>
      </w:r>
      <w:r w:rsidRPr="00702F86">
        <w:rPr>
          <w:color w:val="auto"/>
          <w:sz w:val="22"/>
          <w:szCs w:val="22"/>
        </w:rPr>
        <w:t xml:space="preserve"> uvedené v záhlaví tejto zmluvy</w:t>
      </w:r>
      <w:r w:rsidR="008C2F9B" w:rsidRPr="00702F86">
        <w:rPr>
          <w:color w:val="auto"/>
          <w:sz w:val="22"/>
          <w:szCs w:val="22"/>
        </w:rPr>
        <w:t xml:space="preserve"> a súčasne na e-mailovú adresu: </w:t>
      </w:r>
      <w:hyperlink r:id="rId11" w:history="1">
        <w:r w:rsidR="008C2F9B" w:rsidRPr="00702F86">
          <w:rPr>
            <w:rStyle w:val="Hypertextovprepojenie"/>
            <w:sz w:val="22"/>
            <w:szCs w:val="22"/>
          </w:rPr>
          <w:t>csirt@nzcisk.sk</w:t>
        </w:r>
      </w:hyperlink>
      <w:r w:rsidR="008C2F9B" w:rsidRPr="00702F86">
        <w:rPr>
          <w:color w:val="auto"/>
          <w:sz w:val="22"/>
          <w:szCs w:val="22"/>
        </w:rPr>
        <w:t>.</w:t>
      </w:r>
    </w:p>
    <w:p w14:paraId="5C2F8A1C" w14:textId="77777777" w:rsidR="00D97782" w:rsidRPr="00702F86" w:rsidRDefault="00D97782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26D24996" w14:textId="0108639B" w:rsidR="00D97782" w:rsidRPr="00702F86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 xml:space="preserve"> zodpovedá za škodu vzniknutú </w:t>
      </w:r>
      <w:r w:rsidR="00C12DEB" w:rsidRPr="00702F86">
        <w:rPr>
          <w:color w:val="auto"/>
          <w:sz w:val="22"/>
          <w:szCs w:val="22"/>
        </w:rPr>
        <w:t xml:space="preserve">Prevádzkovateľovi </w:t>
      </w:r>
      <w:r w:rsidR="00D97782" w:rsidRPr="00702F86">
        <w:rPr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00702F86">
        <w:rPr>
          <w:color w:val="auto"/>
          <w:sz w:val="22"/>
          <w:szCs w:val="22"/>
        </w:rPr>
        <w:t xml:space="preserve">voči </w:t>
      </w:r>
      <w:r w:rsidRPr="00702F86">
        <w:rPr>
          <w:color w:val="auto"/>
          <w:sz w:val="22"/>
          <w:szCs w:val="22"/>
        </w:rPr>
        <w:t>Dodávateľ</w:t>
      </w:r>
      <w:r w:rsidR="00C12DEB" w:rsidRPr="00702F86">
        <w:rPr>
          <w:color w:val="auto"/>
          <w:sz w:val="22"/>
          <w:szCs w:val="22"/>
        </w:rPr>
        <w:t xml:space="preserve">ovi </w:t>
      </w:r>
      <w:r w:rsidR="00D97782" w:rsidRPr="00702F86">
        <w:rPr>
          <w:color w:val="auto"/>
          <w:sz w:val="22"/>
          <w:szCs w:val="22"/>
        </w:rPr>
        <w:t xml:space="preserve">nárok na náhradu </w:t>
      </w:r>
      <w:r w:rsidR="00C12DEB" w:rsidRPr="00702F86">
        <w:rPr>
          <w:color w:val="auto"/>
          <w:sz w:val="22"/>
          <w:szCs w:val="22"/>
        </w:rPr>
        <w:t xml:space="preserve">preukázanej </w:t>
      </w:r>
      <w:r w:rsidR="00D97782" w:rsidRPr="00702F86">
        <w:rPr>
          <w:color w:val="auto"/>
          <w:sz w:val="22"/>
          <w:szCs w:val="22"/>
        </w:rPr>
        <w:t>škody, ktor</w:t>
      </w:r>
      <w:r w:rsidR="00AF68D1" w:rsidRPr="00702F86">
        <w:rPr>
          <w:color w:val="auto"/>
          <w:sz w:val="22"/>
          <w:szCs w:val="22"/>
        </w:rPr>
        <w:t>á</w:t>
      </w:r>
      <w:r w:rsidR="00D97782" w:rsidRPr="00702F86">
        <w:rPr>
          <w:color w:val="auto"/>
          <w:sz w:val="22"/>
          <w:szCs w:val="22"/>
        </w:rPr>
        <w:t xml:space="preserve"> </w:t>
      </w:r>
      <w:r w:rsidR="00D345AF" w:rsidRPr="00702F86">
        <w:rPr>
          <w:color w:val="auto"/>
          <w:sz w:val="22"/>
          <w:szCs w:val="22"/>
        </w:rPr>
        <w:t>Prevádzkovateľ</w:t>
      </w:r>
      <w:r w:rsidR="00D97782" w:rsidRPr="00702F86">
        <w:rPr>
          <w:color w:val="auto"/>
          <w:sz w:val="22"/>
          <w:szCs w:val="22"/>
        </w:rPr>
        <w:t>ovi vznikn</w:t>
      </w:r>
      <w:r w:rsidR="00AF68D1" w:rsidRPr="00702F86">
        <w:rPr>
          <w:color w:val="auto"/>
          <w:sz w:val="22"/>
          <w:szCs w:val="22"/>
        </w:rPr>
        <w:t>e</w:t>
      </w:r>
      <w:r w:rsidR="00D97782" w:rsidRPr="00702F86">
        <w:rPr>
          <w:color w:val="auto"/>
          <w:sz w:val="22"/>
          <w:szCs w:val="22"/>
        </w:rPr>
        <w:t xml:space="preserve"> v súvislosti s porušením uvedených záväzkov </w:t>
      </w:r>
      <w:r w:rsidRPr="00702F86">
        <w:rPr>
          <w:color w:val="auto"/>
          <w:sz w:val="22"/>
          <w:szCs w:val="22"/>
        </w:rPr>
        <w:t>Dodávateľ</w:t>
      </w:r>
      <w:r w:rsidR="00D97782" w:rsidRPr="00702F86">
        <w:rPr>
          <w:color w:val="auto"/>
          <w:sz w:val="22"/>
          <w:szCs w:val="22"/>
        </w:rPr>
        <w:t>a.</w:t>
      </w:r>
      <w:r w:rsidR="004E1271" w:rsidRPr="00702F86">
        <w:rPr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00702F86">
        <w:rPr>
          <w:color w:val="auto"/>
          <w:sz w:val="22"/>
          <w:szCs w:val="22"/>
        </w:rPr>
        <w:t xml:space="preserve"> </w:t>
      </w:r>
      <w:r w:rsidR="00DA7410" w:rsidRPr="00702F86">
        <w:rPr>
          <w:color w:val="auto"/>
          <w:sz w:val="22"/>
          <w:szCs w:val="22"/>
        </w:rPr>
        <w:t xml:space="preserve">Zmluvné strany sa dohodli, že s prihliadnutím na ustanovenie § 379 zákona č. 513/1991 </w:t>
      </w:r>
      <w:proofErr w:type="spellStart"/>
      <w:r w:rsidR="00DA7410" w:rsidRPr="00702F86">
        <w:rPr>
          <w:color w:val="auto"/>
          <w:sz w:val="22"/>
          <w:szCs w:val="22"/>
        </w:rPr>
        <w:t>Z.z</w:t>
      </w:r>
      <w:proofErr w:type="spellEnd"/>
      <w:r w:rsidR="00DA7410" w:rsidRPr="00702F86">
        <w:rPr>
          <w:color w:val="auto"/>
          <w:sz w:val="22"/>
          <w:szCs w:val="22"/>
        </w:rPr>
        <w:t xml:space="preserve">. Obchodný zákonník v znení neskorších predpisov a vzhľadom na všetky okolnosti súvisiace s predmetom tejto </w:t>
      </w:r>
      <w:r w:rsidR="00AF68D1" w:rsidRPr="00702F86">
        <w:rPr>
          <w:color w:val="auto"/>
          <w:sz w:val="22"/>
          <w:szCs w:val="22"/>
        </w:rPr>
        <w:t>z</w:t>
      </w:r>
      <w:r w:rsidR="00DA7410" w:rsidRPr="00702F86">
        <w:rPr>
          <w:color w:val="auto"/>
          <w:sz w:val="22"/>
          <w:szCs w:val="22"/>
        </w:rPr>
        <w:t xml:space="preserve">mluvy, zmluvné strany konštatujú, že maximálna úhrnná predvídateľná škoda Prevádzkovateľa za akékoľvek škody, ktoré mu vzniknú na základe tejto </w:t>
      </w:r>
      <w:r w:rsidR="00AF68D1" w:rsidRPr="00702F86">
        <w:rPr>
          <w:color w:val="auto"/>
          <w:sz w:val="22"/>
          <w:szCs w:val="22"/>
        </w:rPr>
        <w:t>z</w:t>
      </w:r>
      <w:r w:rsidR="00DA7410" w:rsidRPr="00702F86">
        <w:rPr>
          <w:color w:val="auto"/>
          <w:sz w:val="22"/>
          <w:szCs w:val="22"/>
        </w:rPr>
        <w:t xml:space="preserve">mluvy a/alebo </w:t>
      </w:r>
      <w:r w:rsidR="00AF68D1" w:rsidRPr="00702F86">
        <w:rPr>
          <w:color w:val="auto"/>
          <w:sz w:val="22"/>
          <w:szCs w:val="22"/>
        </w:rPr>
        <w:t>d</w:t>
      </w:r>
      <w:r w:rsidR="00DA7410" w:rsidRPr="00702F86">
        <w:rPr>
          <w:color w:val="auto"/>
          <w:sz w:val="22"/>
          <w:szCs w:val="22"/>
        </w:rPr>
        <w:t xml:space="preserve">odávateľskej </w:t>
      </w:r>
      <w:r w:rsidR="00AF68D1" w:rsidRPr="00702F86">
        <w:rPr>
          <w:color w:val="auto"/>
          <w:sz w:val="22"/>
          <w:szCs w:val="22"/>
        </w:rPr>
        <w:t>z</w:t>
      </w:r>
      <w:r w:rsidR="00DA7410" w:rsidRPr="00702F86">
        <w:rPr>
          <w:color w:val="auto"/>
          <w:sz w:val="22"/>
          <w:szCs w:val="22"/>
        </w:rPr>
        <w:t xml:space="preserve">mluvy alebo v súvislosti s touto </w:t>
      </w:r>
      <w:r w:rsidR="00AF68D1" w:rsidRPr="00702F86">
        <w:rPr>
          <w:color w:val="auto"/>
          <w:sz w:val="22"/>
          <w:szCs w:val="22"/>
        </w:rPr>
        <w:t>z</w:t>
      </w:r>
      <w:r w:rsidR="00DA7410" w:rsidRPr="00702F86">
        <w:rPr>
          <w:color w:val="auto"/>
          <w:sz w:val="22"/>
          <w:szCs w:val="22"/>
        </w:rPr>
        <w:t xml:space="preserve">mluvou a/alebo </w:t>
      </w:r>
      <w:r w:rsidR="00AF68D1" w:rsidRPr="00702F86">
        <w:rPr>
          <w:color w:val="auto"/>
          <w:sz w:val="22"/>
          <w:szCs w:val="22"/>
        </w:rPr>
        <w:t>d</w:t>
      </w:r>
      <w:r w:rsidR="00DA7410" w:rsidRPr="00702F86">
        <w:rPr>
          <w:color w:val="auto"/>
          <w:sz w:val="22"/>
          <w:szCs w:val="22"/>
        </w:rPr>
        <w:t xml:space="preserve">odávateľskou zmluvou, neprekročia </w:t>
      </w:r>
      <w:r w:rsidR="00DA7410" w:rsidRPr="00702F86">
        <w:rPr>
          <w:color w:val="auto"/>
          <w:sz w:val="22"/>
          <w:szCs w:val="22"/>
          <w:highlight w:val="yellow"/>
        </w:rPr>
        <w:t>sumu ....,- €</w:t>
      </w:r>
      <w:r w:rsidR="00DA7410" w:rsidRPr="00702F86">
        <w:rPr>
          <w:color w:val="auto"/>
          <w:sz w:val="22"/>
          <w:szCs w:val="22"/>
        </w:rPr>
        <w:t xml:space="preserve">. Uvedené predstavuje </w:t>
      </w:r>
      <w:r w:rsidR="00AF68D1" w:rsidRPr="00702F86">
        <w:rPr>
          <w:color w:val="auto"/>
          <w:sz w:val="22"/>
          <w:szCs w:val="22"/>
        </w:rPr>
        <w:t xml:space="preserve">maximálny </w:t>
      </w:r>
      <w:r w:rsidR="00DA7410" w:rsidRPr="00702F86">
        <w:rPr>
          <w:color w:val="auto"/>
          <w:sz w:val="22"/>
          <w:szCs w:val="22"/>
        </w:rPr>
        <w:t>limit celkovej zodpovednosti Dodávateľa v zmysle zmluvných povinností Dodávateľa voči Prevádzkovateľovi.</w:t>
      </w:r>
    </w:p>
    <w:p w14:paraId="6C5DCB2B" w14:textId="77777777" w:rsidR="005675EB" w:rsidRPr="00702F86" w:rsidRDefault="005675EB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65481BFE" w14:textId="4C8B0593" w:rsidR="005675EB" w:rsidRPr="00702F86" w:rsidRDefault="005675EB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V prípade porušenia povinnosti alebo záväzku Dodávateľa </w:t>
      </w:r>
      <w:r w:rsidR="00016882" w:rsidRPr="00702F86">
        <w:rPr>
          <w:color w:val="auto"/>
          <w:sz w:val="22"/>
          <w:szCs w:val="22"/>
        </w:rPr>
        <w:t xml:space="preserve">podľa </w:t>
      </w:r>
      <w:r w:rsidR="00016882" w:rsidRPr="00702F86">
        <w:rPr>
          <w:sz w:val="22"/>
          <w:szCs w:val="22"/>
          <w:highlight w:val="yellow"/>
        </w:rPr>
        <w:t>[•]</w:t>
      </w:r>
      <w:r w:rsidRPr="00702F86">
        <w:rPr>
          <w:color w:val="auto"/>
          <w:sz w:val="22"/>
          <w:szCs w:val="22"/>
        </w:rPr>
        <w:t xml:space="preserve"> tejto zmluvy,  je Dodávateľ povinný Prevádzkovateľovi zaplatiť zmluvnú pokutu vo výške 1 000,-</w:t>
      </w:r>
      <w:r w:rsidR="008F06DC" w:rsidRPr="00702F86">
        <w:rPr>
          <w:color w:val="auto"/>
          <w:sz w:val="22"/>
          <w:szCs w:val="22"/>
        </w:rPr>
        <w:t xml:space="preserve"> EUR; </w:t>
      </w:r>
    </w:p>
    <w:p w14:paraId="1A66C45B" w14:textId="77777777" w:rsidR="004714F2" w:rsidRPr="00702F86" w:rsidRDefault="004714F2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786B7FA7" w14:textId="77777777" w:rsidR="00D97782" w:rsidRPr="00702F86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Po ukončení tejto zmluvy je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 povinný</w:t>
      </w:r>
      <w:r w:rsidR="005D1A80" w:rsidRPr="00702F86">
        <w:rPr>
          <w:color w:val="auto"/>
          <w:sz w:val="22"/>
          <w:szCs w:val="22"/>
        </w:rPr>
        <w:t xml:space="preserve"> podľa pokynu Prevádzkovateľa</w:t>
      </w:r>
      <w:r w:rsidRPr="00702F86">
        <w:rPr>
          <w:color w:val="auto"/>
          <w:sz w:val="22"/>
          <w:szCs w:val="22"/>
        </w:rPr>
        <w:t xml:space="preserve"> vrátiť alebo previesť na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 xml:space="preserve">a všetky </w:t>
      </w:r>
      <w:r w:rsidR="00443F89" w:rsidRPr="00702F86">
        <w:rPr>
          <w:color w:val="auto"/>
          <w:sz w:val="22"/>
          <w:szCs w:val="22"/>
        </w:rPr>
        <w:t xml:space="preserve">údaje a </w:t>
      </w:r>
      <w:r w:rsidRPr="00702F86">
        <w:rPr>
          <w:color w:val="auto"/>
          <w:sz w:val="22"/>
          <w:szCs w:val="22"/>
        </w:rPr>
        <w:t>informácie, ku ktorým mal počas trvania tejto zmluvy prístup</w:t>
      </w:r>
      <w:r w:rsidR="00424217" w:rsidRPr="00702F86">
        <w:rPr>
          <w:color w:val="auto"/>
          <w:sz w:val="22"/>
          <w:szCs w:val="22"/>
        </w:rPr>
        <w:t>,</w:t>
      </w:r>
      <w:r w:rsidR="00443F89" w:rsidRPr="00702F86">
        <w:rPr>
          <w:color w:val="auto"/>
          <w:sz w:val="22"/>
          <w:szCs w:val="22"/>
        </w:rPr>
        <w:t xml:space="preserve"> a</w:t>
      </w:r>
      <w:r w:rsidR="00424217" w:rsidRPr="00702F86">
        <w:rPr>
          <w:color w:val="auto"/>
          <w:sz w:val="22"/>
          <w:szCs w:val="22"/>
        </w:rPr>
        <w:t xml:space="preserve">ko aj </w:t>
      </w:r>
      <w:r w:rsidR="00443F89" w:rsidRPr="00702F86">
        <w:rPr>
          <w:color w:val="auto"/>
          <w:sz w:val="22"/>
          <w:szCs w:val="22"/>
        </w:rPr>
        <w:t> </w:t>
      </w:r>
      <w:r w:rsidR="00424217" w:rsidRPr="00702F86">
        <w:rPr>
          <w:color w:val="auto"/>
          <w:sz w:val="22"/>
          <w:szCs w:val="22"/>
        </w:rPr>
        <w:t xml:space="preserve">údaje a informácie </w:t>
      </w:r>
      <w:r w:rsidR="00443F89" w:rsidRPr="00702F86">
        <w:rPr>
          <w:color w:val="auto"/>
          <w:sz w:val="22"/>
          <w:szCs w:val="22"/>
        </w:rPr>
        <w:t>získa</w:t>
      </w:r>
      <w:r w:rsidR="00424217" w:rsidRPr="00702F86">
        <w:rPr>
          <w:color w:val="auto"/>
          <w:sz w:val="22"/>
          <w:szCs w:val="22"/>
        </w:rPr>
        <w:t>né</w:t>
      </w:r>
      <w:r w:rsidR="00443F89" w:rsidRPr="00702F86">
        <w:rPr>
          <w:color w:val="auto"/>
          <w:sz w:val="22"/>
          <w:szCs w:val="22"/>
        </w:rPr>
        <w:t xml:space="preserve"> v súvislosti s plnením tejto zmluvy</w:t>
      </w:r>
      <w:r w:rsidRPr="00702F86">
        <w:rPr>
          <w:color w:val="auto"/>
          <w:sz w:val="22"/>
          <w:szCs w:val="22"/>
        </w:rPr>
        <w:t xml:space="preserve">, resp. tieto </w:t>
      </w:r>
      <w:r w:rsidR="00424217" w:rsidRPr="00702F86">
        <w:rPr>
          <w:color w:val="auto"/>
          <w:sz w:val="22"/>
          <w:szCs w:val="22"/>
        </w:rPr>
        <w:t xml:space="preserve">údaje a </w:t>
      </w:r>
      <w:r w:rsidRPr="00702F86">
        <w:rPr>
          <w:color w:val="auto"/>
          <w:sz w:val="22"/>
          <w:szCs w:val="22"/>
        </w:rPr>
        <w:t xml:space="preserve">informácie zničiť, ak osobitný predpis </w:t>
      </w:r>
      <w:r w:rsidR="00963026" w:rsidRPr="00702F86">
        <w:rPr>
          <w:color w:val="auto"/>
          <w:sz w:val="22"/>
          <w:szCs w:val="22"/>
        </w:rPr>
        <w:t xml:space="preserve">alebo </w:t>
      </w:r>
      <w:r w:rsidRPr="00702F86">
        <w:rPr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00702F86">
        <w:rPr>
          <w:color w:val="auto"/>
          <w:sz w:val="22"/>
          <w:szCs w:val="22"/>
        </w:rPr>
        <w:t>Dodávateľ</w:t>
      </w:r>
      <w:r w:rsidRPr="00702F86">
        <w:rPr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00702F86">
        <w:rPr>
          <w:color w:val="auto"/>
          <w:sz w:val="22"/>
          <w:szCs w:val="22"/>
        </w:rPr>
        <w:t>Prevádzkovateľ</w:t>
      </w:r>
      <w:r w:rsidRPr="00702F86">
        <w:rPr>
          <w:color w:val="auto"/>
          <w:sz w:val="22"/>
          <w:szCs w:val="22"/>
        </w:rPr>
        <w:t>a.</w:t>
      </w:r>
    </w:p>
    <w:p w14:paraId="4F0D2B98" w14:textId="77777777" w:rsidR="0054010E" w:rsidRPr="00702F86" w:rsidRDefault="0054010E" w:rsidP="005C7620">
      <w:pPr>
        <w:spacing w:after="0"/>
        <w:rPr>
          <w:rFonts w:ascii="Times New Roman" w:hAnsi="Times New Roman" w:cs="Times New Roman"/>
        </w:rPr>
      </w:pPr>
    </w:p>
    <w:p w14:paraId="474E3EDC" w14:textId="7AD41AB8" w:rsidR="0054010E" w:rsidRPr="00702F86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Dodávateľ bezodkladne po ukončení tejto zmluvy, najneskôr však do troch (3) dní, predloží Prevádzkovateľovi sumarizáciu všetkých podkladov a všetkých informácií zachytených na akomkoľvek </w:t>
      </w:r>
      <w:r w:rsidRPr="00702F86">
        <w:rPr>
          <w:color w:val="auto"/>
          <w:sz w:val="22"/>
          <w:szCs w:val="22"/>
        </w:rPr>
        <w:lastRenderedPageBreak/>
        <w:t xml:space="preserve">druhu nosiča dát, ktoré priamo alebo nepriamo súvisia s povinnosťami </w:t>
      </w:r>
      <w:r w:rsidR="00B458EF" w:rsidRPr="00702F86">
        <w:rPr>
          <w:color w:val="auto"/>
          <w:sz w:val="22"/>
          <w:szCs w:val="22"/>
        </w:rPr>
        <w:t xml:space="preserve">Dodávateľa </w:t>
      </w:r>
      <w:r w:rsidRPr="00702F86">
        <w:rPr>
          <w:color w:val="auto"/>
          <w:sz w:val="22"/>
          <w:szCs w:val="22"/>
        </w:rPr>
        <w:t>vyplývajúci</w:t>
      </w:r>
      <w:r w:rsidR="00016882" w:rsidRPr="00702F86">
        <w:rPr>
          <w:color w:val="auto"/>
          <w:sz w:val="22"/>
          <w:szCs w:val="22"/>
        </w:rPr>
        <w:t>mi</w:t>
      </w:r>
      <w:r w:rsidRPr="00702F86">
        <w:rPr>
          <w:color w:val="auto"/>
          <w:sz w:val="22"/>
          <w:szCs w:val="22"/>
        </w:rPr>
        <w:t xml:space="preserve"> z tejto zmluvy, a ktoré sa týkajú Prevádzkovateľa. Prevádzkovateľ na základe sumarizácie podľa predchádzajúcej vety písomne informuje Dodávateľa o tom, ktoré podklady a informácie má Dodávateľ vrátiť Prevádzkovateľovi, previesť na Prevádzkovateľa a ktoré má zničiť. Dodávateľ je povinný splniť si povinnosť podľa predchádzajúcej vety najneskôr do </w:t>
      </w:r>
      <w:r w:rsidR="00CB2720" w:rsidRPr="00702F86">
        <w:rPr>
          <w:color w:val="auto"/>
          <w:sz w:val="22"/>
          <w:szCs w:val="22"/>
        </w:rPr>
        <w:t>piatich (</w:t>
      </w:r>
      <w:r w:rsidRPr="00702F86">
        <w:rPr>
          <w:color w:val="auto"/>
          <w:sz w:val="22"/>
          <w:szCs w:val="22"/>
        </w:rPr>
        <w:t>5</w:t>
      </w:r>
      <w:r w:rsidR="00CB2720" w:rsidRPr="00702F86">
        <w:rPr>
          <w:color w:val="auto"/>
          <w:sz w:val="22"/>
          <w:szCs w:val="22"/>
        </w:rPr>
        <w:t>)</w:t>
      </w:r>
      <w:r w:rsidRPr="00702F86">
        <w:rPr>
          <w:color w:val="auto"/>
          <w:sz w:val="22"/>
          <w:szCs w:val="22"/>
        </w:rPr>
        <w:t xml:space="preserve"> dní odo dňa, kedy Prevádzkovateľ informoval Dodávateľa o spôsobe naloženia s týmito podkladmi a informáciami.</w:t>
      </w:r>
    </w:p>
    <w:p w14:paraId="1FCE5331" w14:textId="77777777" w:rsidR="00D97782" w:rsidRPr="00702F86" w:rsidRDefault="00D97782" w:rsidP="00447A57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285830A7" w14:textId="77777777" w:rsidR="00C81B25" w:rsidRPr="00702F86" w:rsidRDefault="00C81B25" w:rsidP="00C81B25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5A4F2E0A" w14:textId="77777777" w:rsidR="00D97782" w:rsidRPr="00702F86" w:rsidRDefault="00315DDE" w:rsidP="00D97782">
      <w:pPr>
        <w:pStyle w:val="Default"/>
        <w:jc w:val="center"/>
        <w:rPr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 xml:space="preserve">Článok </w:t>
      </w:r>
      <w:r w:rsidR="00D97782" w:rsidRPr="00702F86">
        <w:rPr>
          <w:b/>
          <w:bCs/>
          <w:color w:val="auto"/>
          <w:sz w:val="22"/>
          <w:szCs w:val="22"/>
        </w:rPr>
        <w:t xml:space="preserve"> X</w:t>
      </w:r>
      <w:r w:rsidRPr="00702F86">
        <w:rPr>
          <w:b/>
          <w:bCs/>
          <w:color w:val="auto"/>
          <w:sz w:val="22"/>
          <w:szCs w:val="22"/>
        </w:rPr>
        <w:t>.</w:t>
      </w:r>
    </w:p>
    <w:p w14:paraId="2AA61864" w14:textId="77777777" w:rsidR="00D97782" w:rsidRPr="00702F86" w:rsidRDefault="00D97782" w:rsidP="00D9778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02F86">
        <w:rPr>
          <w:b/>
          <w:bCs/>
          <w:color w:val="auto"/>
          <w:sz w:val="22"/>
          <w:szCs w:val="22"/>
        </w:rPr>
        <w:t>Záverečné ustanovenia</w:t>
      </w:r>
    </w:p>
    <w:p w14:paraId="4102773D" w14:textId="77777777" w:rsidR="00D97782" w:rsidRPr="00702F86" w:rsidRDefault="00D97782" w:rsidP="00D97782">
      <w:pPr>
        <w:pStyle w:val="Default"/>
        <w:jc w:val="center"/>
        <w:rPr>
          <w:color w:val="auto"/>
          <w:sz w:val="22"/>
          <w:szCs w:val="22"/>
        </w:rPr>
      </w:pPr>
    </w:p>
    <w:p w14:paraId="16A540DF" w14:textId="77777777" w:rsidR="001D63DB" w:rsidRPr="00702F86" w:rsidRDefault="001D63DB" w:rsidP="00E9599A">
      <w:pPr>
        <w:pStyle w:val="Odsekzoznamu"/>
        <w:numPr>
          <w:ilvl w:val="0"/>
          <w:numId w:val="26"/>
        </w:numPr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>Táto zmluva nadobúda platnosť dňom p</w:t>
      </w:r>
      <w:r w:rsidR="009B5213" w:rsidRPr="00702F86">
        <w:rPr>
          <w:rFonts w:ascii="Times New Roman" w:hAnsi="Times New Roman" w:cs="Times New Roman"/>
          <w:lang w:val="sk-SK"/>
        </w:rPr>
        <w:t>odpisu oboma zmluvnými stranami a účinnosť dňom nasledujúcim po dni jej zverejnenia v Centrálnom registri zmlúv vedenom Úradom vlády Slovenskej republiky, nie však skôr ako dňom nadobudnutia účinnosti dodávateľskej zmluvy.</w:t>
      </w:r>
    </w:p>
    <w:p w14:paraId="5CB65917" w14:textId="77777777" w:rsidR="001D63DB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Táto zm</w:t>
      </w:r>
      <w:r w:rsidR="009B5213" w:rsidRPr="00702F86">
        <w:rPr>
          <w:color w:val="auto"/>
          <w:sz w:val="22"/>
          <w:szCs w:val="22"/>
        </w:rPr>
        <w:t>luva sa uzatvára na dobu určitú, a to na dobu trvania</w:t>
      </w:r>
      <w:r w:rsidR="00323E4A" w:rsidRPr="00702F86">
        <w:rPr>
          <w:color w:val="auto"/>
          <w:sz w:val="22"/>
          <w:szCs w:val="22"/>
        </w:rPr>
        <w:t xml:space="preserve"> platnosti a</w:t>
      </w:r>
      <w:r w:rsidR="009B5213" w:rsidRPr="00702F86">
        <w:rPr>
          <w:color w:val="auto"/>
          <w:sz w:val="22"/>
          <w:szCs w:val="22"/>
        </w:rPr>
        <w:t xml:space="preserve"> účinnosti dodávateľskej zmluvy.</w:t>
      </w:r>
    </w:p>
    <w:p w14:paraId="5A84BC64" w14:textId="77777777" w:rsidR="001D63DB" w:rsidRPr="00702F86" w:rsidRDefault="001D63DB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313C3DE4" w14:textId="6461C9E5" w:rsidR="001D63DB" w:rsidRPr="00702F86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702F86">
        <w:rPr>
          <w:color w:val="auto"/>
          <w:sz w:val="22"/>
          <w:szCs w:val="22"/>
        </w:rPr>
        <w:t xml:space="preserve"> alebo tejto zmluve</w:t>
      </w:r>
      <w:r w:rsidRPr="00702F86">
        <w:rPr>
          <w:color w:val="auto"/>
          <w:sz w:val="22"/>
          <w:szCs w:val="22"/>
        </w:rPr>
        <w:t xml:space="preserve">. Odstúpenie od tejto zmluvy </w:t>
      </w:r>
      <w:r w:rsidR="00B458EF" w:rsidRPr="00702F86">
        <w:rPr>
          <w:color w:val="auto"/>
          <w:sz w:val="22"/>
          <w:szCs w:val="22"/>
        </w:rPr>
        <w:t>musí byť</w:t>
      </w:r>
      <w:r w:rsidRPr="00702F86">
        <w:rPr>
          <w:color w:val="auto"/>
          <w:sz w:val="22"/>
          <w:szCs w:val="22"/>
        </w:rPr>
        <w:t xml:space="preserve"> vykona</w:t>
      </w:r>
      <w:r w:rsidR="00B458EF" w:rsidRPr="00702F86">
        <w:rPr>
          <w:color w:val="auto"/>
          <w:sz w:val="22"/>
          <w:szCs w:val="22"/>
        </w:rPr>
        <w:t>né</w:t>
      </w:r>
      <w:r w:rsidRPr="00702F86">
        <w:rPr>
          <w:color w:val="auto"/>
          <w:sz w:val="22"/>
          <w:szCs w:val="22"/>
        </w:rPr>
        <w:t xml:space="preserve"> v písomnej forme</w:t>
      </w:r>
      <w:r w:rsidR="00AB24FB" w:rsidRPr="00702F86">
        <w:rPr>
          <w:color w:val="auto"/>
          <w:sz w:val="22"/>
          <w:szCs w:val="22"/>
        </w:rPr>
        <w:t>, pričom odstúpenie od zmluvy musí byť</w:t>
      </w:r>
      <w:r w:rsidRPr="00702F86">
        <w:rPr>
          <w:color w:val="auto"/>
          <w:sz w:val="22"/>
          <w:szCs w:val="22"/>
        </w:rPr>
        <w:t xml:space="preserve"> riadne doručen</w:t>
      </w:r>
      <w:r w:rsidR="00AB24FB" w:rsidRPr="00702F86">
        <w:rPr>
          <w:color w:val="auto"/>
          <w:sz w:val="22"/>
          <w:szCs w:val="22"/>
        </w:rPr>
        <w:t>é</w:t>
      </w:r>
      <w:r w:rsidRPr="00702F86">
        <w:rPr>
          <w:color w:val="auto"/>
          <w:sz w:val="22"/>
          <w:szCs w:val="22"/>
        </w:rPr>
        <w:t xml:space="preserve"> </w:t>
      </w:r>
      <w:r w:rsidR="00AB24FB" w:rsidRPr="00702F86">
        <w:rPr>
          <w:color w:val="auto"/>
          <w:sz w:val="22"/>
          <w:szCs w:val="22"/>
        </w:rPr>
        <w:t xml:space="preserve">druhej </w:t>
      </w:r>
      <w:r w:rsidRPr="00702F86">
        <w:rPr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702F86">
        <w:rPr>
          <w:color w:val="auto"/>
          <w:sz w:val="22"/>
          <w:szCs w:val="22"/>
        </w:rPr>
        <w:t xml:space="preserve">druhej </w:t>
      </w:r>
      <w:r w:rsidRPr="00702F86">
        <w:rPr>
          <w:color w:val="auto"/>
          <w:sz w:val="22"/>
          <w:szCs w:val="22"/>
        </w:rPr>
        <w:t>zmluvnej strane.</w:t>
      </w:r>
    </w:p>
    <w:p w14:paraId="6F1F2D71" w14:textId="77777777" w:rsidR="001D63DB" w:rsidRPr="00702F86" w:rsidRDefault="001D63DB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1A1F2B2F" w14:textId="778D143E" w:rsidR="005675EB" w:rsidRPr="00702F86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Prevádzkovateľ je oprávnený odstúpiť od tejto zmluvy v prípade, ak Dodávateľ poruší povinnosť alebo záväzok </w:t>
      </w:r>
      <w:r w:rsidR="00B458EF" w:rsidRPr="00702F86">
        <w:rPr>
          <w:color w:val="auto"/>
          <w:sz w:val="22"/>
          <w:szCs w:val="22"/>
        </w:rPr>
        <w:t xml:space="preserve">podľa </w:t>
      </w:r>
      <w:r w:rsidR="00B458EF" w:rsidRPr="00702F86">
        <w:rPr>
          <w:sz w:val="22"/>
          <w:szCs w:val="22"/>
          <w:highlight w:val="yellow"/>
        </w:rPr>
        <w:t>[•]</w:t>
      </w:r>
      <w:r w:rsidR="00B458EF" w:rsidRPr="00702F86">
        <w:rPr>
          <w:color w:val="auto"/>
          <w:sz w:val="22"/>
          <w:szCs w:val="22"/>
        </w:rPr>
        <w:t xml:space="preserve"> </w:t>
      </w:r>
      <w:r w:rsidRPr="00702F86">
        <w:rPr>
          <w:color w:val="auto"/>
          <w:sz w:val="22"/>
          <w:szCs w:val="22"/>
        </w:rPr>
        <w:t>tejto zmluvy.</w:t>
      </w:r>
    </w:p>
    <w:p w14:paraId="38C8698A" w14:textId="77777777" w:rsidR="005675EB" w:rsidRPr="00702F86" w:rsidRDefault="005675EB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7B85A733" w14:textId="465EEF6C" w:rsidR="005675EB" w:rsidRPr="00702F86" w:rsidRDefault="001933B9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Zmluvné strany sú</w:t>
      </w:r>
      <w:r w:rsidR="005675EB" w:rsidRPr="00702F86">
        <w:rPr>
          <w:color w:val="auto"/>
          <w:sz w:val="22"/>
          <w:szCs w:val="22"/>
        </w:rPr>
        <w:t xml:space="preserve"> oprávnen</w:t>
      </w:r>
      <w:r w:rsidRPr="00702F86">
        <w:rPr>
          <w:color w:val="auto"/>
          <w:sz w:val="22"/>
          <w:szCs w:val="22"/>
        </w:rPr>
        <w:t>é</w:t>
      </w:r>
      <w:r w:rsidR="005675EB" w:rsidRPr="00702F86">
        <w:rPr>
          <w:color w:val="auto"/>
          <w:sz w:val="22"/>
          <w:szCs w:val="22"/>
        </w:rPr>
        <w:t xml:space="preserve"> vypovedať túto zmluvu aj bez udania dôvodu s výpovednou lehotou 3 mesiace. Výpovedná lehota začína plynúť prvým dňom kalendárneho mesiaca nasledujúceho po mesiaci, v ktorom bola </w:t>
      </w:r>
      <w:r w:rsidRPr="00702F86">
        <w:rPr>
          <w:color w:val="auto"/>
          <w:sz w:val="22"/>
          <w:szCs w:val="22"/>
        </w:rPr>
        <w:t xml:space="preserve">výpoveď </w:t>
      </w:r>
      <w:r w:rsidR="005675EB" w:rsidRPr="00702F86">
        <w:rPr>
          <w:color w:val="auto"/>
          <w:sz w:val="22"/>
          <w:szCs w:val="22"/>
        </w:rPr>
        <w:t xml:space="preserve">doručená </w:t>
      </w:r>
      <w:r w:rsidRPr="00702F86">
        <w:rPr>
          <w:color w:val="auto"/>
          <w:sz w:val="22"/>
          <w:szCs w:val="22"/>
        </w:rPr>
        <w:t>druhej zmluvnej strane</w:t>
      </w:r>
      <w:r w:rsidRPr="00702F86" w:rsidDel="001933B9">
        <w:rPr>
          <w:color w:val="auto"/>
          <w:sz w:val="22"/>
          <w:szCs w:val="22"/>
        </w:rPr>
        <w:t xml:space="preserve"> </w:t>
      </w:r>
      <w:r w:rsidR="005675EB" w:rsidRPr="00702F86">
        <w:rPr>
          <w:color w:val="auto"/>
          <w:sz w:val="22"/>
          <w:szCs w:val="22"/>
        </w:rPr>
        <w:t>.</w:t>
      </w:r>
    </w:p>
    <w:p w14:paraId="516C4816" w14:textId="77777777" w:rsidR="005675EB" w:rsidRPr="00702F86" w:rsidRDefault="005675EB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421657DF" w14:textId="77777777" w:rsidR="001D63DB" w:rsidRPr="00702F86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U</w:t>
      </w:r>
      <w:r w:rsidR="001D63DB" w:rsidRPr="00702F86">
        <w:rPr>
          <w:color w:val="auto"/>
          <w:sz w:val="22"/>
          <w:szCs w:val="22"/>
        </w:rPr>
        <w:t xml:space="preserve">končením </w:t>
      </w:r>
      <w:r w:rsidRPr="00702F86">
        <w:rPr>
          <w:color w:val="auto"/>
          <w:sz w:val="22"/>
          <w:szCs w:val="22"/>
        </w:rPr>
        <w:t xml:space="preserve">tejto </w:t>
      </w:r>
      <w:r w:rsidR="001D63DB" w:rsidRPr="00702F86">
        <w:rPr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702F86">
        <w:rPr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702F86">
        <w:rPr>
          <w:color w:val="auto"/>
          <w:sz w:val="22"/>
          <w:szCs w:val="22"/>
        </w:rPr>
        <w:t>.</w:t>
      </w:r>
    </w:p>
    <w:p w14:paraId="6E35E4B8" w14:textId="77777777" w:rsidR="00215FE2" w:rsidRPr="00702F86" w:rsidRDefault="00215FE2" w:rsidP="00E9599A">
      <w:pPr>
        <w:pStyle w:val="Odsekzoznamu"/>
        <w:ind w:left="567" w:hanging="567"/>
        <w:rPr>
          <w:rFonts w:ascii="Times New Roman" w:hAnsi="Times New Roman" w:cs="Times New Roman"/>
          <w:lang w:val="sk-SK"/>
        </w:rPr>
      </w:pPr>
    </w:p>
    <w:p w14:paraId="24945777" w14:textId="6E6F99BB" w:rsidR="00215FE2" w:rsidRPr="00702F86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Zmluvné strany ber</w:t>
      </w:r>
      <w:r w:rsidR="00F66269" w:rsidRPr="00702F86">
        <w:rPr>
          <w:color w:val="auto"/>
          <w:sz w:val="22"/>
          <w:szCs w:val="22"/>
        </w:rPr>
        <w:t xml:space="preserve">ú na vedomie, že uzatvorenie a existencia tejto zmluvy medzi Prevádzkovateľom a Dodávateľom je zákonnou povinnosťou Prevádzkovateľa. </w:t>
      </w:r>
    </w:p>
    <w:p w14:paraId="69EC2401" w14:textId="77777777" w:rsidR="00D97782" w:rsidRPr="00702F86" w:rsidRDefault="00D97782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232E27E9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CBDDE8D" w14:textId="77777777" w:rsidR="00D97782" w:rsidRPr="00702F86" w:rsidRDefault="00D97782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5B0F96F2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702F86">
        <w:rPr>
          <w:color w:val="auto"/>
          <w:sz w:val="22"/>
          <w:szCs w:val="22"/>
        </w:rPr>
        <w:t>lovenskej republiky</w:t>
      </w:r>
      <w:r w:rsidRPr="00702F86">
        <w:rPr>
          <w:color w:val="auto"/>
          <w:sz w:val="22"/>
          <w:szCs w:val="22"/>
        </w:rPr>
        <w:t>.</w:t>
      </w:r>
    </w:p>
    <w:p w14:paraId="001EA5F3" w14:textId="77777777" w:rsidR="00D97782" w:rsidRPr="00702F86" w:rsidRDefault="00D97782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32D0FB33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702F86">
        <w:rPr>
          <w:color w:val="auto"/>
          <w:sz w:val="22"/>
          <w:szCs w:val="22"/>
        </w:rPr>
        <w:t>lovaným dodatkom k tejto zmluve, ak táto zmluva neustanovuje inak.</w:t>
      </w:r>
    </w:p>
    <w:p w14:paraId="1641958B" w14:textId="77777777" w:rsidR="00630D6C" w:rsidRPr="00702F86" w:rsidRDefault="00630D6C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6D12B854" w14:textId="4A699C69" w:rsidR="00630D6C" w:rsidRPr="00702F86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Kontaktné osoby zmluvných strán</w:t>
      </w:r>
      <w:r w:rsidR="00D10FEE" w:rsidRPr="00702F86">
        <w:rPr>
          <w:color w:val="auto"/>
          <w:sz w:val="22"/>
          <w:szCs w:val="22"/>
        </w:rPr>
        <w:t xml:space="preserve"> a ich kontaktné údaje</w:t>
      </w:r>
      <w:r w:rsidRPr="00702F86">
        <w:rPr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00702F86">
        <w:rPr>
          <w:color w:val="auto"/>
          <w:sz w:val="22"/>
          <w:szCs w:val="22"/>
        </w:rPr>
        <w:t xml:space="preserve">alebo kontaktné </w:t>
      </w:r>
      <w:r w:rsidR="001933B9" w:rsidRPr="00702F86">
        <w:rPr>
          <w:color w:val="auto"/>
          <w:sz w:val="22"/>
          <w:szCs w:val="22"/>
        </w:rPr>
        <w:t xml:space="preserve">údaje </w:t>
      </w:r>
      <w:r w:rsidRPr="00702F86">
        <w:rPr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00702F86">
        <w:rPr>
          <w:color w:val="auto"/>
          <w:sz w:val="22"/>
          <w:szCs w:val="22"/>
        </w:rPr>
        <w:t xml:space="preserve"> </w:t>
      </w:r>
    </w:p>
    <w:p w14:paraId="02366F9F" w14:textId="77777777" w:rsidR="00D97782" w:rsidRPr="00702F86" w:rsidRDefault="00D97782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7D64D909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lastRenderedPageBreak/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702F86">
        <w:rPr>
          <w:color w:val="auto"/>
          <w:sz w:val="22"/>
          <w:szCs w:val="22"/>
        </w:rPr>
        <w:t xml:space="preserve"> </w:t>
      </w:r>
      <w:r w:rsidRPr="00702F86">
        <w:rPr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20E729E8" w14:textId="77777777" w:rsidR="00D97782" w:rsidRPr="00702F86" w:rsidRDefault="00D97782" w:rsidP="00E9599A">
      <w:pPr>
        <w:pStyle w:val="Default"/>
        <w:spacing w:after="28"/>
        <w:ind w:left="567" w:hanging="567"/>
        <w:jc w:val="both"/>
        <w:rPr>
          <w:color w:val="auto"/>
          <w:sz w:val="22"/>
          <w:szCs w:val="22"/>
        </w:rPr>
      </w:pPr>
    </w:p>
    <w:p w14:paraId="5F3F6898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Neoddeliteľnou súčasťou tejto zmluvy je:</w:t>
      </w:r>
    </w:p>
    <w:p w14:paraId="1E9C7BB8" w14:textId="77777777" w:rsidR="00D97782" w:rsidRPr="00702F86" w:rsidRDefault="00D97782" w:rsidP="00E9599A">
      <w:pPr>
        <w:pStyle w:val="Default"/>
        <w:ind w:left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Príloha č. 1 – </w:t>
      </w:r>
      <w:r w:rsidR="003405BD" w:rsidRPr="00702F86">
        <w:rPr>
          <w:color w:val="auto"/>
          <w:sz w:val="22"/>
          <w:szCs w:val="22"/>
        </w:rPr>
        <w:t xml:space="preserve">Požiadavky na </w:t>
      </w:r>
      <w:r w:rsidR="0042444A" w:rsidRPr="00702F86">
        <w:rPr>
          <w:color w:val="auto"/>
          <w:sz w:val="22"/>
          <w:szCs w:val="22"/>
        </w:rPr>
        <w:t>bezpečnostn</w:t>
      </w:r>
      <w:r w:rsidR="003405BD" w:rsidRPr="00702F86">
        <w:rPr>
          <w:color w:val="auto"/>
          <w:sz w:val="22"/>
          <w:szCs w:val="22"/>
        </w:rPr>
        <w:t>é</w:t>
      </w:r>
      <w:r w:rsidR="0042444A" w:rsidRPr="00702F86">
        <w:rPr>
          <w:color w:val="auto"/>
          <w:sz w:val="22"/>
          <w:szCs w:val="22"/>
        </w:rPr>
        <w:t xml:space="preserve"> opatre</w:t>
      </w:r>
      <w:r w:rsidR="003405BD" w:rsidRPr="00702F86">
        <w:rPr>
          <w:color w:val="auto"/>
          <w:sz w:val="22"/>
          <w:szCs w:val="22"/>
        </w:rPr>
        <w:t>nia</w:t>
      </w:r>
    </w:p>
    <w:p w14:paraId="7442F5EB" w14:textId="77777777" w:rsidR="001D63DB" w:rsidRPr="00702F86" w:rsidRDefault="001D63DB" w:rsidP="00E9599A">
      <w:pPr>
        <w:pStyle w:val="Default"/>
        <w:ind w:left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Príloha č. 2 </w:t>
      </w:r>
      <w:r w:rsidR="00D554A7" w:rsidRPr="00702F86">
        <w:rPr>
          <w:color w:val="auto"/>
          <w:sz w:val="22"/>
          <w:szCs w:val="22"/>
        </w:rPr>
        <w:t>–</w:t>
      </w:r>
      <w:r w:rsidRPr="00702F86">
        <w:rPr>
          <w:color w:val="auto"/>
          <w:sz w:val="22"/>
          <w:szCs w:val="22"/>
        </w:rPr>
        <w:t xml:space="preserve"> Spôsob hlásenia bezpečnostného incidentu</w:t>
      </w:r>
    </w:p>
    <w:p w14:paraId="47E11B6D" w14:textId="77777777" w:rsidR="009429A5" w:rsidRPr="00702F86" w:rsidRDefault="009429A5" w:rsidP="00E9599A">
      <w:pPr>
        <w:pStyle w:val="Default"/>
        <w:ind w:left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Príloha č. 3 – Zoznam osôb a pracovných rolí Dodávateľa</w:t>
      </w:r>
    </w:p>
    <w:p w14:paraId="21E60389" w14:textId="77777777" w:rsidR="00D97782" w:rsidRPr="00702F86" w:rsidRDefault="00D97782" w:rsidP="00D97782">
      <w:pPr>
        <w:pStyle w:val="Default"/>
        <w:spacing w:after="27"/>
        <w:jc w:val="both"/>
        <w:rPr>
          <w:color w:val="auto"/>
          <w:sz w:val="22"/>
          <w:szCs w:val="22"/>
        </w:rPr>
      </w:pPr>
    </w:p>
    <w:p w14:paraId="10225792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Táto zmluva sa vyhotovuje v </w:t>
      </w:r>
      <w:r w:rsidR="00D10FEE" w:rsidRPr="00702F86">
        <w:rPr>
          <w:color w:val="auto"/>
          <w:sz w:val="22"/>
          <w:szCs w:val="22"/>
        </w:rPr>
        <w:t>4</w:t>
      </w:r>
      <w:r w:rsidRPr="00702F86">
        <w:rPr>
          <w:color w:val="auto"/>
          <w:sz w:val="22"/>
          <w:szCs w:val="22"/>
        </w:rPr>
        <w:t xml:space="preserve"> rovnopisoch, po </w:t>
      </w:r>
      <w:r w:rsidR="00D10FEE" w:rsidRPr="00702F86">
        <w:rPr>
          <w:color w:val="auto"/>
          <w:sz w:val="22"/>
          <w:szCs w:val="22"/>
        </w:rPr>
        <w:t>2</w:t>
      </w:r>
      <w:r w:rsidRPr="00702F86">
        <w:rPr>
          <w:color w:val="auto"/>
          <w:sz w:val="22"/>
          <w:szCs w:val="22"/>
        </w:rPr>
        <w:t xml:space="preserve"> pre každú zmluvnú stranu.</w:t>
      </w:r>
    </w:p>
    <w:p w14:paraId="10862361" w14:textId="77777777" w:rsidR="00D97782" w:rsidRPr="00702F86" w:rsidRDefault="00D97782" w:rsidP="00E9599A">
      <w:pPr>
        <w:pStyle w:val="Default"/>
        <w:ind w:left="567" w:hanging="567"/>
        <w:jc w:val="both"/>
        <w:rPr>
          <w:color w:val="auto"/>
          <w:sz w:val="22"/>
          <w:szCs w:val="22"/>
        </w:rPr>
      </w:pPr>
    </w:p>
    <w:p w14:paraId="05080194" w14:textId="77777777" w:rsidR="00D97782" w:rsidRPr="00702F86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1F314D3B" w14:textId="77777777" w:rsidR="00D97782" w:rsidRPr="00702F86" w:rsidRDefault="00D97782" w:rsidP="00D97782">
      <w:pPr>
        <w:pStyle w:val="Default"/>
        <w:jc w:val="both"/>
        <w:rPr>
          <w:color w:val="auto"/>
          <w:sz w:val="22"/>
          <w:szCs w:val="22"/>
        </w:rPr>
      </w:pPr>
    </w:p>
    <w:p w14:paraId="416C8855" w14:textId="77777777" w:rsidR="002959D5" w:rsidRPr="00702F86" w:rsidRDefault="002959D5" w:rsidP="00D97782">
      <w:pPr>
        <w:pStyle w:val="Default"/>
        <w:jc w:val="both"/>
        <w:rPr>
          <w:color w:val="auto"/>
          <w:sz w:val="22"/>
          <w:szCs w:val="22"/>
        </w:rPr>
      </w:pPr>
    </w:p>
    <w:p w14:paraId="7BB6EBAF" w14:textId="77777777" w:rsidR="008E1AD7" w:rsidRPr="00702F86" w:rsidRDefault="008E1AD7" w:rsidP="00D97782">
      <w:pPr>
        <w:pStyle w:val="Default"/>
        <w:jc w:val="both"/>
        <w:rPr>
          <w:color w:val="auto"/>
          <w:sz w:val="22"/>
          <w:szCs w:val="22"/>
        </w:rPr>
      </w:pPr>
    </w:p>
    <w:p w14:paraId="337C8B5E" w14:textId="77777777" w:rsidR="008E1AD7" w:rsidRPr="00702F86" w:rsidRDefault="008E1AD7" w:rsidP="00D97782">
      <w:pPr>
        <w:pStyle w:val="Default"/>
        <w:jc w:val="both"/>
        <w:rPr>
          <w:color w:val="auto"/>
          <w:sz w:val="22"/>
          <w:szCs w:val="22"/>
        </w:rPr>
      </w:pPr>
    </w:p>
    <w:p w14:paraId="4BFB531D" w14:textId="77777777" w:rsidR="00D97782" w:rsidRPr="00702F86" w:rsidRDefault="00D97782" w:rsidP="00D97782">
      <w:pPr>
        <w:pStyle w:val="Default"/>
        <w:jc w:val="both"/>
        <w:rPr>
          <w:color w:val="auto"/>
          <w:sz w:val="22"/>
          <w:szCs w:val="22"/>
        </w:rPr>
      </w:pPr>
      <w:r w:rsidRPr="00702F86">
        <w:rPr>
          <w:color w:val="auto"/>
          <w:sz w:val="22"/>
          <w:szCs w:val="22"/>
        </w:rPr>
        <w:t xml:space="preserve">V </w:t>
      </w:r>
      <w:r w:rsidR="0042444A" w:rsidRPr="00702F86">
        <w:rPr>
          <w:color w:val="auto"/>
          <w:sz w:val="22"/>
          <w:szCs w:val="22"/>
        </w:rPr>
        <w:t>Bratislave</w:t>
      </w:r>
      <w:r w:rsidRPr="00702F86">
        <w:rPr>
          <w:color w:val="auto"/>
          <w:sz w:val="22"/>
          <w:szCs w:val="22"/>
        </w:rPr>
        <w:t xml:space="preserve"> dňa ................... </w:t>
      </w:r>
      <w:r w:rsidRPr="00702F86">
        <w:rPr>
          <w:color w:val="auto"/>
          <w:sz w:val="22"/>
          <w:szCs w:val="22"/>
        </w:rPr>
        <w:tab/>
      </w:r>
      <w:r w:rsidRPr="00702F86">
        <w:rPr>
          <w:color w:val="auto"/>
          <w:sz w:val="22"/>
          <w:szCs w:val="22"/>
        </w:rPr>
        <w:tab/>
      </w:r>
      <w:r w:rsidRPr="00702F86">
        <w:rPr>
          <w:color w:val="auto"/>
          <w:sz w:val="22"/>
          <w:szCs w:val="22"/>
        </w:rPr>
        <w:tab/>
        <w:t>V ....................</w:t>
      </w:r>
      <w:r w:rsidR="0042444A" w:rsidRPr="00702F86">
        <w:rPr>
          <w:color w:val="auto"/>
          <w:sz w:val="22"/>
          <w:szCs w:val="22"/>
        </w:rPr>
        <w:t>.....</w:t>
      </w:r>
      <w:r w:rsidRPr="00702F86">
        <w:rPr>
          <w:color w:val="auto"/>
          <w:sz w:val="22"/>
          <w:szCs w:val="22"/>
        </w:rPr>
        <w:t xml:space="preserve"> dňa ...................</w:t>
      </w:r>
    </w:p>
    <w:p w14:paraId="03B061B2" w14:textId="77777777" w:rsidR="002959D5" w:rsidRPr="00702F86" w:rsidRDefault="00D97782" w:rsidP="004244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 xml:space="preserve">       </w:t>
      </w:r>
    </w:p>
    <w:p w14:paraId="20A09B32" w14:textId="77777777" w:rsidR="002959D5" w:rsidRPr="00702F86" w:rsidRDefault="002959D5" w:rsidP="004244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E831D" w14:textId="77777777" w:rsidR="00251600" w:rsidRPr="00702F86" w:rsidRDefault="00251600" w:rsidP="00702F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8C0FB" w14:textId="0BF1F674" w:rsidR="00C97388" w:rsidRPr="00702F86" w:rsidRDefault="00D97782" w:rsidP="004244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t xml:space="preserve">Za </w:t>
      </w:r>
      <w:r w:rsidR="00D345AF" w:rsidRPr="00702F86">
        <w:rPr>
          <w:rFonts w:ascii="Times New Roman" w:hAnsi="Times New Roman" w:cs="Times New Roman"/>
        </w:rPr>
        <w:t>Prevádzkovateľ</w:t>
      </w:r>
      <w:r w:rsidRPr="00702F86">
        <w:rPr>
          <w:rFonts w:ascii="Times New Roman" w:hAnsi="Times New Roman" w:cs="Times New Roman"/>
        </w:rPr>
        <w:t xml:space="preserve">a: </w:t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</w:r>
      <w:r w:rsidRPr="00702F86">
        <w:rPr>
          <w:rFonts w:ascii="Times New Roman" w:hAnsi="Times New Roman" w:cs="Times New Roman"/>
        </w:rPr>
        <w:tab/>
        <w:t xml:space="preserve">Za </w:t>
      </w:r>
      <w:r w:rsidR="00217A4C" w:rsidRPr="00702F86">
        <w:rPr>
          <w:rFonts w:ascii="Times New Roman" w:hAnsi="Times New Roman" w:cs="Times New Roman"/>
        </w:rPr>
        <w:t>Dodávateľ</w:t>
      </w:r>
      <w:r w:rsidRPr="00702F86">
        <w:rPr>
          <w:rFonts w:ascii="Times New Roman" w:hAnsi="Times New Roman" w:cs="Times New Roman"/>
        </w:rPr>
        <w:t>a:</w:t>
      </w:r>
    </w:p>
    <w:p w14:paraId="53004808" w14:textId="77777777" w:rsidR="0042444A" w:rsidRPr="00702F86" w:rsidRDefault="0042444A" w:rsidP="004244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8357E" w14:textId="77777777" w:rsidR="00884291" w:rsidRPr="00702F86" w:rsidRDefault="00884291" w:rsidP="00884291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566692D7" w14:textId="77777777" w:rsidR="00702F86" w:rsidRDefault="00702F86">
      <w:pPr>
        <w:rPr>
          <w:rFonts w:ascii="Times New Roman" w:hAnsi="Times New Roman" w:cs="Times New Roman"/>
          <w:b/>
        </w:rPr>
      </w:pPr>
    </w:p>
    <w:p w14:paraId="2863505B" w14:textId="76AA2E90" w:rsidR="00702F86" w:rsidRPr="00702F86" w:rsidRDefault="00702F86">
      <w:pPr>
        <w:rPr>
          <w:rFonts w:ascii="Times New Roman" w:hAnsi="Times New Roman" w:cs="Times New Roman"/>
          <w:bCs/>
        </w:rPr>
      </w:pPr>
      <w:r w:rsidRPr="00702F86">
        <w:rPr>
          <w:rFonts w:ascii="Times New Roman" w:hAnsi="Times New Roman" w:cs="Times New Roman"/>
          <w:bCs/>
        </w:rPr>
        <w:t>.............................................</w:t>
      </w:r>
      <w:r>
        <w:rPr>
          <w:rFonts w:ascii="Times New Roman" w:hAnsi="Times New Roman" w:cs="Times New Roman"/>
          <w:bCs/>
        </w:rPr>
        <w:t>.</w:t>
      </w:r>
      <w:r w:rsidRPr="00702F8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702F86">
        <w:rPr>
          <w:rFonts w:ascii="Times New Roman" w:hAnsi="Times New Roman" w:cs="Times New Roman"/>
          <w:bCs/>
        </w:rPr>
        <w:t>.............................................</w:t>
      </w:r>
      <w:r>
        <w:rPr>
          <w:rFonts w:ascii="Times New Roman" w:hAnsi="Times New Roman" w:cs="Times New Roman"/>
          <w:bCs/>
        </w:rPr>
        <w:t>.</w:t>
      </w:r>
      <w:r w:rsidRPr="00702F86">
        <w:rPr>
          <w:rFonts w:ascii="Times New Roman" w:hAnsi="Times New Roman" w:cs="Times New Roman"/>
          <w:bCs/>
        </w:rPr>
        <w:tab/>
      </w:r>
      <w:r w:rsidRPr="00702F86">
        <w:rPr>
          <w:rFonts w:ascii="Times New Roman" w:hAnsi="Times New Roman" w:cs="Times New Roman"/>
          <w:bCs/>
        </w:rPr>
        <w:tab/>
      </w:r>
      <w:r w:rsidRPr="00702F86">
        <w:rPr>
          <w:rFonts w:ascii="Times New Roman" w:hAnsi="Times New Roman" w:cs="Times New Roman"/>
          <w:bCs/>
        </w:rPr>
        <w:tab/>
      </w:r>
    </w:p>
    <w:p w14:paraId="2A066341" w14:textId="381C1520" w:rsidR="00D355F2" w:rsidRPr="00702F86" w:rsidRDefault="00D355F2">
      <w:pPr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  <w:b/>
        </w:rPr>
        <w:br w:type="page"/>
      </w:r>
    </w:p>
    <w:p w14:paraId="2BD9C9F2" w14:textId="063B3FAC" w:rsidR="005777DC" w:rsidRPr="00702F86" w:rsidRDefault="005777DC" w:rsidP="005777DC">
      <w:pPr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  <w:b/>
        </w:rPr>
        <w:lastRenderedPageBreak/>
        <w:t xml:space="preserve">Príloha č. 1 </w:t>
      </w:r>
      <w:r w:rsidRPr="00702F86">
        <w:rPr>
          <w:rFonts w:ascii="Times New Roman" w:hAnsi="Times New Roman" w:cs="Times New Roman"/>
          <w:b/>
        </w:rPr>
        <w:tab/>
      </w:r>
      <w:r w:rsidRPr="00702F86">
        <w:rPr>
          <w:rFonts w:ascii="Times New Roman" w:hAnsi="Times New Roman" w:cs="Times New Roman"/>
          <w:b/>
        </w:rPr>
        <w:tab/>
      </w:r>
      <w:r w:rsidRPr="00702F86">
        <w:rPr>
          <w:rFonts w:ascii="Times New Roman" w:hAnsi="Times New Roman" w:cs="Times New Roman"/>
          <w:b/>
          <w:bCs/>
          <w:color w:val="000000"/>
        </w:rPr>
        <w:t>Špecifikácia a rozsah bezpečnostných opatrení</w:t>
      </w:r>
    </w:p>
    <w:p w14:paraId="5D2510B2" w14:textId="77777777" w:rsidR="005777DC" w:rsidRPr="00702F86" w:rsidRDefault="005777DC" w:rsidP="005777DC">
      <w:pPr>
        <w:rPr>
          <w:rFonts w:ascii="Times New Roman" w:hAnsi="Times New Roman" w:cs="Times New Roman"/>
          <w:b/>
          <w:bCs/>
          <w:color w:val="000000"/>
        </w:rPr>
      </w:pPr>
    </w:p>
    <w:p w14:paraId="71FE56F3" w14:textId="77777777" w:rsidR="005777DC" w:rsidRPr="00702F86" w:rsidRDefault="005777DC" w:rsidP="005777DC">
      <w:pPr>
        <w:pStyle w:val="AgreementL1"/>
        <w:numPr>
          <w:ilvl w:val="0"/>
          <w:numId w:val="74"/>
        </w:numPr>
        <w:autoSpaceDE/>
        <w:autoSpaceDN/>
        <w:jc w:val="both"/>
        <w:rPr>
          <w:szCs w:val="22"/>
        </w:rPr>
      </w:pPr>
      <w:bookmarkStart w:id="0" w:name="_Ref21525739"/>
      <w:bookmarkStart w:id="1" w:name="_Ref433269840"/>
      <w:r w:rsidRPr="00702F86">
        <w:rPr>
          <w:szCs w:val="22"/>
        </w:rPr>
        <w:t>Bezpečnostné opatrenia – technické zraniteľnosti systémov a zariadení</w:t>
      </w:r>
      <w:bookmarkEnd w:id="0"/>
    </w:p>
    <w:p w14:paraId="455AA3C2" w14:textId="77777777" w:rsidR="005777DC" w:rsidRPr="00702F86" w:rsidRDefault="005777DC" w:rsidP="005777DC">
      <w:pPr>
        <w:pStyle w:val="AgreementL2"/>
        <w:numPr>
          <w:ilvl w:val="1"/>
          <w:numId w:val="74"/>
        </w:numPr>
        <w:autoSpaceDE/>
        <w:autoSpaceDN/>
        <w:spacing w:before="120"/>
        <w:jc w:val="both"/>
        <w:rPr>
          <w:szCs w:val="22"/>
        </w:rPr>
      </w:pPr>
      <w:r w:rsidRPr="00702F86">
        <w:rPr>
          <w:szCs w:val="22"/>
        </w:rPr>
        <w:t xml:space="preserve">Pre oblasť technických zraniteľností systémov a zariadení realizuje Dodávateľ opatrenia podľa § 9 Vyhlášky NBÚ č. 362/2018 </w:t>
      </w:r>
      <w:proofErr w:type="spellStart"/>
      <w:r w:rsidRPr="00702F86">
        <w:rPr>
          <w:szCs w:val="22"/>
        </w:rPr>
        <w:t>Z.z</w:t>
      </w:r>
      <w:proofErr w:type="spellEnd"/>
      <w:r w:rsidRPr="00702F86">
        <w:rPr>
          <w:szCs w:val="22"/>
        </w:rPr>
        <w:t>., najmä identifikuje technické zraniteľnosti informačných systémov, ktoré využíva pri poskytovaní služieb Prevádzkovateľovi a ktoré toto poskytovanie služieb Prevádzkovateľovi ovplyvňujú, napríklad prostredníctvom opatrení definovaných v nasledujúcich bodoch alebo opatrení s porovnateľným účinkom:</w:t>
      </w:r>
    </w:p>
    <w:p w14:paraId="41493081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 xml:space="preserve">Zavedenie a prevádzka nástroja určeného na detegovanie existujúcich zraniteľností programových prostriedkov a ich častí, ak sú súčasťou </w:t>
      </w:r>
      <w:bookmarkStart w:id="2" w:name="_Hlk119477983"/>
      <w:r w:rsidRPr="00702F86">
        <w:rPr>
          <w:szCs w:val="22"/>
        </w:rPr>
        <w:t>služieb pre Prevádzkovateľa</w:t>
      </w:r>
      <w:bookmarkEnd w:id="2"/>
      <w:r w:rsidRPr="00702F86">
        <w:rPr>
          <w:szCs w:val="22"/>
        </w:rPr>
        <w:t>;</w:t>
      </w:r>
    </w:p>
    <w:p w14:paraId="2FD69556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Zavedenie a prevádzka nástroja určeného na detegovanie existujúcich zraniteľností technických prostriedkov a ich častí, ak sú súčasťou služieb pre Prevádzkovateľa;</w:t>
      </w:r>
    </w:p>
    <w:p w14:paraId="562BE13A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Využitie verejných a výrobcom poskytovaných zoznamov, ktoré opisujú zraniteľnosti programových a technických prostriedkov.</w:t>
      </w:r>
    </w:p>
    <w:bookmarkEnd w:id="1"/>
    <w:p w14:paraId="6C6C57DE" w14:textId="77777777" w:rsidR="005777DC" w:rsidRPr="00702F86" w:rsidRDefault="005777DC" w:rsidP="005777DC">
      <w:pPr>
        <w:pStyle w:val="AgreementL1"/>
        <w:numPr>
          <w:ilvl w:val="0"/>
          <w:numId w:val="74"/>
        </w:numPr>
        <w:autoSpaceDE/>
        <w:autoSpaceDN/>
        <w:jc w:val="both"/>
        <w:rPr>
          <w:szCs w:val="22"/>
        </w:rPr>
      </w:pPr>
      <w:r w:rsidRPr="00702F86">
        <w:rPr>
          <w:szCs w:val="22"/>
        </w:rPr>
        <w:t>Bezpečnostné opatrenia – riadenie bezpečnostných sietí a informačných systémov</w:t>
      </w:r>
    </w:p>
    <w:p w14:paraId="1373CBC6" w14:textId="77777777" w:rsidR="005777DC" w:rsidRPr="00702F86" w:rsidRDefault="005777DC" w:rsidP="005777DC">
      <w:pPr>
        <w:pStyle w:val="AgreementL2"/>
        <w:numPr>
          <w:ilvl w:val="1"/>
          <w:numId w:val="74"/>
        </w:numPr>
        <w:autoSpaceDE/>
        <w:autoSpaceDN/>
        <w:spacing w:before="120"/>
        <w:jc w:val="both"/>
        <w:rPr>
          <w:szCs w:val="22"/>
        </w:rPr>
      </w:pPr>
      <w:r w:rsidRPr="00702F86">
        <w:rPr>
          <w:szCs w:val="22"/>
        </w:rPr>
        <w:t xml:space="preserve">Pre oblasť riadenia bezpečnosti sietí a informačných systémov realizuje Dodávateľ opatrenia podľa §10 Vyhlášky NBÚ č. 362/2018, </w:t>
      </w:r>
      <w:proofErr w:type="spellStart"/>
      <w:r w:rsidRPr="00702F86">
        <w:rPr>
          <w:szCs w:val="22"/>
        </w:rPr>
        <w:t>Z.z</w:t>
      </w:r>
      <w:proofErr w:type="spellEnd"/>
      <w:r w:rsidRPr="00702F86">
        <w:rPr>
          <w:szCs w:val="22"/>
        </w:rPr>
        <w:t>., napríklad prostredníctvom opatrení definovaných v nasledovných bodoch alebo opatrení s porovnateľným účinkom:</w:t>
      </w:r>
    </w:p>
    <w:p w14:paraId="5C5D229A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Riadenie bezpečného prístupu medzi vonkajšími a vnútornými sieťami a informačnými systémami Prevádzkovateľa, ktoré využíva pri poskytovaní služieb pre Prevádzkovateľa, a to najmä využitím nástrojov na ochranu integrity sietí a informačných systémov, ktoré sú zabezpečené segmentáciou sietí a informačných systémov; servery so službami pre Prevádzkovateľa priamo prístupnými z externých sietí sa nachádzajú v samostatných sieťových segmentoch a v rovnakom segmente musia byť len servery s rovnakými bezpečnostnými požiadavkami a rovnakej bezpečnostnej triedy a s podobným účelom.</w:t>
      </w:r>
    </w:p>
    <w:p w14:paraId="7C054635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Povoľovanie prepojenia medzi segmentmi a externými sieťami, ktoré sú chránené firewallom a všetkých spojení, na princípe zásady najnižších privilégií.</w:t>
      </w:r>
    </w:p>
    <w:p w14:paraId="71635E68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Zavedenie bezpečnostných opatrení na bezpečné mobilné pripojenie do siete a informačného systému a vzdialený prístup, napríklad bezpečným spôsobom s použitím dvojfaktorovej autentizácie alebo použitím kryptografických prostriedkov.</w:t>
      </w:r>
    </w:p>
    <w:p w14:paraId="0C299F11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Sieťam alebo informačným systémom sú umožnené len špecifikované služby umiestnené vo vyhradených segmentoch siete počítačovej siete.</w:t>
      </w:r>
    </w:p>
    <w:p w14:paraId="33C7F637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Spojenia do externých sietí sú smerované cez sieťový firewall a v závislosti od prostredia aj cez systém detekcie prienikov.</w:t>
      </w:r>
    </w:p>
    <w:p w14:paraId="193D67D0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Servery dostupné z externých sietí sú zabezpečované podľa odporúčaní výrobcu.</w:t>
      </w:r>
    </w:p>
    <w:p w14:paraId="63C44325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Udržiavanie zoznamu všetkých vstupno-výstupných bodov na hranici siete v aktuálnom stave.</w:t>
      </w:r>
    </w:p>
    <w:p w14:paraId="7B50BF33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Zavedenie a prevádzka automatizačných prostriedkov, ktorými sú identifikované neoprávnené sieťové spojenia na hranici s vonkajšou sieťou.</w:t>
      </w:r>
    </w:p>
    <w:p w14:paraId="63C402C8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Blokovanie neoprávnených spojení zo známych adries označených ako škodlivé alebo spôsobujúce známe hrozby, ak to nastavenie informačného systému umožňuje.</w:t>
      </w:r>
    </w:p>
    <w:p w14:paraId="71ABAB37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Neumožnenie komunikácie a prevádzky aplikácií cez neautorizované porty.</w:t>
      </w:r>
    </w:p>
    <w:p w14:paraId="61D440C9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Zavedenie a prevádzka systému monitorovania bezpečnosti, ktorý je nakonfigurovaný tak, že zaznamenáva a vyhodnocuje aj informácie o sieťových paketoch na hranici siete.</w:t>
      </w:r>
    </w:p>
    <w:p w14:paraId="26C636C3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lastRenderedPageBreak/>
        <w:t>Implementácia systému detekcie prienikov alebo systému prevencie prienikov na identifikáciu nezvyčajných mechanizmov útokov alebo proaktívneho blokovania škodlivej sieťovej prevádzky.</w:t>
      </w:r>
    </w:p>
    <w:p w14:paraId="1D2FA538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Smerovanie odchádzajúcej používateľskej sieťovej prevádzky cez autentizovaný server filtrovania obsahu.</w:t>
      </w:r>
    </w:p>
    <w:p w14:paraId="47E208AB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Vyžadované použitie dvojfaktorovej autentizácie od každého vzdialeného pripojenia do internej siete.</w:t>
      </w:r>
    </w:p>
    <w:p w14:paraId="45737238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Vykonávanie pravidelného alebo nepretržitého posudzovania technických zraniteľností, najmä identifikácie možnej prítomnosti škodlivého kódu zariadenia, ktoré sa vzdialene pripája do internej siete, alebo zmluvného zaručenia vrátane preukázania plnenia tejto povinnosti.</w:t>
      </w:r>
    </w:p>
    <w:p w14:paraId="78F1AFF9" w14:textId="77777777" w:rsidR="005777DC" w:rsidRPr="00702F86" w:rsidRDefault="005777DC" w:rsidP="005777DC">
      <w:pPr>
        <w:pStyle w:val="AgreementL1"/>
        <w:rPr>
          <w:szCs w:val="22"/>
        </w:rPr>
      </w:pPr>
      <w:r w:rsidRPr="00702F86">
        <w:rPr>
          <w:szCs w:val="22"/>
        </w:rPr>
        <w:t>Bezpečnostné opatrenia – riadenie prístupov</w:t>
      </w:r>
    </w:p>
    <w:p w14:paraId="6AF8D74B" w14:textId="77777777" w:rsidR="005777DC" w:rsidRPr="00702F86" w:rsidRDefault="005777DC" w:rsidP="005777DC">
      <w:pPr>
        <w:pStyle w:val="AgreementL2"/>
        <w:jc w:val="both"/>
        <w:rPr>
          <w:szCs w:val="22"/>
        </w:rPr>
      </w:pPr>
      <w:r w:rsidRPr="00702F86">
        <w:rPr>
          <w:szCs w:val="22"/>
        </w:rPr>
        <w:t xml:space="preserve">Pre oblasť riadenia prístupov realizuje Dodávateľ opatrenia podľa § 12 Vyhlášky NBÚ č. 362/2018, </w:t>
      </w:r>
      <w:proofErr w:type="spellStart"/>
      <w:r w:rsidRPr="00702F86">
        <w:rPr>
          <w:szCs w:val="22"/>
        </w:rPr>
        <w:t>Z.z</w:t>
      </w:r>
      <w:proofErr w:type="spellEnd"/>
      <w:r w:rsidRPr="00702F86">
        <w:rPr>
          <w:szCs w:val="22"/>
        </w:rPr>
        <w:t>., napríklad prostredníctvom opatrení definovaných v nasledovných bodoch alebo opatrení s porovnateľným účinkom:</w:t>
      </w:r>
    </w:p>
    <w:p w14:paraId="6768518E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Riadenie prístupov osôb k sieti a informačnému systému, založené na zásade, že používateľ má prístup len k tým aktívam a funkcionalitám v rámci siete a informačného systému, ktoré sú nevyhnutné na plnenie zverených úloh používateľa. Na to sa vypracúvajú zásady riadenia prístupu osôb k sieti a informačnému systému, ktoré definujú spôsob prideľovania a odoberania prístupových práv používateľom, ich formálnu evidenciu a vedenie úplných prevádzkových záznamov o každom prístupe do siete a informačného systému.</w:t>
      </w:r>
    </w:p>
    <w:p w14:paraId="280D916D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Riadenie prístupov k sieťam a informačným systémom uskutočnené v závislosti od prevádzkových a bezpečnostných potrieb Prevádzkovateľa, pričom sú prijaté bezpečnostné opatrenia, ktoré slúžia na zabezpečenie ochrany údajov, ktoré sú používané pri prihlásení do sietí a informačných systémov a ktoré zabraňujú zneužitiu týchto údajov neoprávnenou osobou.</w:t>
      </w:r>
    </w:p>
    <w:p w14:paraId="2B90B819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Riadenie prístupov osôb k sieti a informačnému systému, to zahŕňa najmenej vypracovanie zásad riadenia prístupu k informáciám, riadenia prístupu používateľov, zodpovednosti používateľov, riadenia prístupu k sieťam, prístupu k operačnému systému a jeho službám; prístupu k aplikáciám, monitorovania prístupu a používania informačného systému a riadenia vzdialeného prístupu.</w:t>
      </w:r>
    </w:p>
    <w:p w14:paraId="69F36515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Pridelenie jednoznačného identifikátora na autentizáciu na vstup do siete a informačného systému každému používateľovi siete a informačného systému.</w:t>
      </w:r>
    </w:p>
    <w:p w14:paraId="3979B3D7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Zabezpečenie riadenia jednoznačných identifikátorov používateľov vrátane prístupových práv a oprávnení používateľských účtov.</w:t>
      </w:r>
    </w:p>
    <w:p w14:paraId="0CF51773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Využitie nástroja na správu a overovanie identity používateľa pred začiatkom jeho aktivity v rámci siete a informačného systému a nástroj na riadenie prístupových oprávnení, prostredníctvom ktorého je riadený prístup k jednotlivým aplikáciám a údajom, prístup na čítanie a zápis údajov a na zmeny oprávnení a prostredníctvom ktorého sa zaznamenávajú použitia prístupových oprávnení (prevádzkové záznamy).</w:t>
      </w:r>
    </w:p>
    <w:p w14:paraId="3191502C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Výkon kontroly prístupových účtov a prístupových oprávnení na overenie súladu schválených oprávnení so skutočným stavom oprávnení a detekciu a následné zmazanie nepoužívaných prístupových účtov v pravidelných intervaloch.</w:t>
      </w:r>
    </w:p>
    <w:p w14:paraId="2EBD8712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Určenie osoby zodpovednej za riadenie prístupu používateľov do siete a k informačnému systému a za prideľovanie a odoberanie prístupových práv používateľom, ich formálnu evidenciu a vedenie úplných prevádzkových záznamov o každom prístupe do siete a informačného systému v zmysle príslušnej bezpečnostnej politiky.</w:t>
      </w:r>
    </w:p>
    <w:p w14:paraId="37F38446" w14:textId="77777777" w:rsidR="005777DC" w:rsidRPr="00702F86" w:rsidRDefault="005777DC" w:rsidP="005777DC">
      <w:pPr>
        <w:pStyle w:val="AgreementL1"/>
        <w:rPr>
          <w:szCs w:val="22"/>
        </w:rPr>
      </w:pPr>
      <w:r w:rsidRPr="00702F86">
        <w:rPr>
          <w:szCs w:val="22"/>
        </w:rPr>
        <w:lastRenderedPageBreak/>
        <w:t>Bezpečnostné opatrenia – riešenie kybernetických bezpečnostných incidentov (ďalej len „KBI“)</w:t>
      </w:r>
    </w:p>
    <w:p w14:paraId="142636E4" w14:textId="77777777" w:rsidR="005777DC" w:rsidRPr="00702F86" w:rsidRDefault="005777DC" w:rsidP="005777DC">
      <w:pPr>
        <w:pStyle w:val="AgreementL2"/>
        <w:jc w:val="both"/>
        <w:rPr>
          <w:szCs w:val="22"/>
        </w:rPr>
      </w:pPr>
      <w:r w:rsidRPr="00702F86">
        <w:rPr>
          <w:szCs w:val="22"/>
        </w:rPr>
        <w:t xml:space="preserve">Pre oblasť riešenia KBI realizuje Dodávateľ opatrenia podľa § 14 Vyhlášky NBÚ č. 362/2018, </w:t>
      </w:r>
      <w:proofErr w:type="spellStart"/>
      <w:r w:rsidRPr="00702F86">
        <w:rPr>
          <w:szCs w:val="22"/>
        </w:rPr>
        <w:t>Z.z</w:t>
      </w:r>
      <w:proofErr w:type="spellEnd"/>
      <w:r w:rsidRPr="00702F86">
        <w:rPr>
          <w:szCs w:val="22"/>
        </w:rPr>
        <w:t>., najmä deteguje a rieši KBI, ktoré môžu mať dopad na poskytovanie služieb Prevádzkovateľovi. To zahŕňa napríklad prijatie opatrení definovaných v nasledovných bodoch alebo opatrení s porovnateľným účinkom:</w:t>
      </w:r>
    </w:p>
    <w:p w14:paraId="19148AEB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Oboznámenie sa s postupmi Prevádzkovateľa pri riešení KBI a spracovanie interných postupov riešenia KBI, ktoré zahŕňajú minimálne postupy hlásenia KBI voči Prevádzkovateľovi.</w:t>
      </w:r>
    </w:p>
    <w:p w14:paraId="442214CA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Monitorovanie a analyzovanie udalostí v sieťach a informačných systémoch, ktoré sú využívané na poskytovanie služieb Prevádzkovateľovi.</w:t>
      </w:r>
    </w:p>
    <w:p w14:paraId="6A8464CB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Detegovanie KBI, prostredníctvom nástroja na detekciu KBI, ktorý umožňuje v rámci sietí a informačných systémov a medzi sieťami a informačnými systémami overenie a kontrolu prenášaných dát.</w:t>
      </w:r>
    </w:p>
    <w:p w14:paraId="741BB0A9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Zber a vyhodnocovanie relevantných informácií o KBI prostredníctvom nástroja na zber a nepretržité vyhodnocovanie kybernetických bezpečnostných udalostí, ktorý umožňuje zber a vyhodnocovanie informácií o KBI; vyhľadávanie a zoskupovanie záznamov súvisiacich s KBI; vyhodnocovanie bezpečnostných udalostí na ich identifikáciu ako KBI; revíziu konfigurácie a monitorovacích pravidiel na vyhodnocovanie bezpečnostných udalostí pri nesprávne identifikovaných KBI.</w:t>
      </w:r>
    </w:p>
    <w:p w14:paraId="65553954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Riešenie zistených KBI a zníženie následkov zistených KBI podľa pokynov Prevádzkovateľa.</w:t>
      </w:r>
    </w:p>
    <w:p w14:paraId="11854820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Vyhodnocovanie spôsobov riešenia KBI po ich vyriešení a prijatie opatrení alebo zavedenie nových postupov s cieľom minimalizovať výskyt obdobných KBI v súčinnosti s Prevádzkovateľom.</w:t>
      </w:r>
    </w:p>
    <w:p w14:paraId="412CA9B9" w14:textId="77777777" w:rsidR="005777DC" w:rsidRPr="00702F86" w:rsidRDefault="005777DC" w:rsidP="005777DC">
      <w:pPr>
        <w:pStyle w:val="AgreementL1"/>
        <w:rPr>
          <w:szCs w:val="22"/>
        </w:rPr>
      </w:pPr>
      <w:bookmarkStart w:id="3" w:name="_Ref21525775"/>
      <w:r w:rsidRPr="00702F86">
        <w:rPr>
          <w:szCs w:val="22"/>
        </w:rPr>
        <w:t>Bezpečnostné opatrenia – monitorovanie, testovanie bezpečnosti a bezpečnostné audity</w:t>
      </w:r>
      <w:bookmarkEnd w:id="3"/>
    </w:p>
    <w:p w14:paraId="6977FD97" w14:textId="77777777" w:rsidR="005777DC" w:rsidRPr="00702F86" w:rsidRDefault="005777DC" w:rsidP="005777DC">
      <w:pPr>
        <w:pStyle w:val="AgreementL2"/>
        <w:spacing w:before="120"/>
        <w:jc w:val="both"/>
        <w:rPr>
          <w:szCs w:val="22"/>
        </w:rPr>
      </w:pPr>
      <w:r w:rsidRPr="00702F86">
        <w:rPr>
          <w:szCs w:val="22"/>
        </w:rPr>
        <w:t xml:space="preserve">Pre oblasť monitorovania, testovania bezpečnosti a bezpečnostných auditov realizuje Dodávateľ opatrenia podľa § 15 Vyhlášky NBÚ č. 362/2018, </w:t>
      </w:r>
      <w:proofErr w:type="spellStart"/>
      <w:r w:rsidRPr="00702F86">
        <w:rPr>
          <w:szCs w:val="22"/>
        </w:rPr>
        <w:t>Z.z</w:t>
      </w:r>
      <w:proofErr w:type="spellEnd"/>
      <w:r w:rsidRPr="00702F86">
        <w:rPr>
          <w:szCs w:val="22"/>
        </w:rPr>
        <w:t>. v rozsahu potrebnom pre poskytovanie služieb pre Prevádzkovateľa. Monitorovanie bezpečnosti sietí a informačných systémov sa uskutočňuje implementáciou centrálneho nástroja na zaznamenávanie činnosti sietí a informačných systémov a ich používateľov zabezpečujúceho bezpečnostný dohľad nad sieťami a informačnými systémami zaznamenávaním prevádzky týchto sietí a informačných systémov, a to najmenej v rozsahu:</w:t>
      </w:r>
    </w:p>
    <w:p w14:paraId="3B486C76" w14:textId="77777777" w:rsidR="005777DC" w:rsidRPr="00702F86" w:rsidRDefault="005777DC" w:rsidP="005777DC">
      <w:pPr>
        <w:pStyle w:val="AgreementL3"/>
        <w:spacing w:before="120"/>
        <w:jc w:val="both"/>
        <w:rPr>
          <w:szCs w:val="22"/>
        </w:rPr>
      </w:pPr>
      <w:r w:rsidRPr="00702F86">
        <w:rPr>
          <w:szCs w:val="22"/>
        </w:rPr>
        <w:t>sieťových prvkov a serverov, ak sú súčasťou služieb pre Prevádzkovateľa,</w:t>
      </w:r>
    </w:p>
    <w:p w14:paraId="6475C634" w14:textId="77777777" w:rsidR="005777DC" w:rsidRPr="00702F86" w:rsidRDefault="005777DC" w:rsidP="005777DC">
      <w:pPr>
        <w:pStyle w:val="AgreementL3"/>
        <w:spacing w:before="120"/>
        <w:jc w:val="both"/>
        <w:rPr>
          <w:b/>
          <w:szCs w:val="22"/>
        </w:rPr>
      </w:pPr>
      <w:r w:rsidRPr="00702F86">
        <w:rPr>
          <w:szCs w:val="22"/>
        </w:rPr>
        <w:t>služieb prístupných do externých sietí, ak sú súčasťou služieb pre Prevádzkovateľa.</w:t>
      </w:r>
    </w:p>
    <w:p w14:paraId="1541A2D8" w14:textId="77777777" w:rsidR="005777DC" w:rsidRPr="00702F86" w:rsidRDefault="005777DC" w:rsidP="005777DC">
      <w:pPr>
        <w:rPr>
          <w:rFonts w:ascii="Times New Roman" w:hAnsi="Times New Roman" w:cs="Times New Roman"/>
          <w:b/>
        </w:rPr>
      </w:pPr>
    </w:p>
    <w:p w14:paraId="1210E5CE" w14:textId="77777777" w:rsidR="005777DC" w:rsidRPr="00702F86" w:rsidRDefault="005777DC">
      <w:pPr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  <w:b/>
        </w:rPr>
        <w:br w:type="page"/>
      </w:r>
    </w:p>
    <w:p w14:paraId="5E93FF68" w14:textId="77777777" w:rsidR="00315DDE" w:rsidRPr="00702F86" w:rsidRDefault="00315DDE" w:rsidP="00E9599A">
      <w:pPr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  <w:b/>
        </w:rPr>
        <w:lastRenderedPageBreak/>
        <w:t>Príloha č. 2</w:t>
      </w:r>
      <w:r w:rsidR="00640911" w:rsidRPr="00702F86">
        <w:rPr>
          <w:rFonts w:ascii="Times New Roman" w:hAnsi="Times New Roman" w:cs="Times New Roman"/>
          <w:b/>
        </w:rPr>
        <w:tab/>
      </w:r>
      <w:r w:rsidR="00640911" w:rsidRPr="00702F86">
        <w:rPr>
          <w:rFonts w:ascii="Times New Roman" w:hAnsi="Times New Roman" w:cs="Times New Roman"/>
          <w:b/>
        </w:rPr>
        <w:tab/>
      </w:r>
      <w:r w:rsidRPr="00702F86">
        <w:rPr>
          <w:rFonts w:ascii="Times New Roman" w:hAnsi="Times New Roman" w:cs="Times New Roman"/>
          <w:b/>
        </w:rPr>
        <w:t>Spôsob hlásenia bezpečnostného incidentu</w:t>
      </w:r>
    </w:p>
    <w:p w14:paraId="6EBA1F95" w14:textId="77777777" w:rsidR="002959D5" w:rsidRPr="00702F86" w:rsidRDefault="002959D5" w:rsidP="00E9599A">
      <w:pPr>
        <w:rPr>
          <w:rFonts w:ascii="Times New Roman" w:hAnsi="Times New Roman" w:cs="Times New Roman"/>
          <w:b/>
        </w:rPr>
      </w:pPr>
    </w:p>
    <w:p w14:paraId="755A790F" w14:textId="77777777" w:rsidR="00630D6C" w:rsidRPr="00702F86" w:rsidRDefault="007872D1" w:rsidP="007872D1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>H</w:t>
      </w:r>
      <w:r w:rsidR="00315DDE" w:rsidRPr="00702F86">
        <w:rPr>
          <w:rFonts w:ascii="Times New Roman" w:hAnsi="Times New Roman" w:cs="Times New Roman"/>
          <w:lang w:val="sk-SK"/>
        </w:rPr>
        <w:t xml:space="preserve">lásenie incidentov a následná komunikácia </w:t>
      </w:r>
      <w:r w:rsidRPr="00702F86">
        <w:rPr>
          <w:rFonts w:ascii="Times New Roman" w:hAnsi="Times New Roman" w:cs="Times New Roman"/>
          <w:lang w:val="sk-SK"/>
        </w:rPr>
        <w:t xml:space="preserve">prebieha </w:t>
      </w:r>
      <w:r w:rsidR="00315DDE" w:rsidRPr="00702F86">
        <w:rPr>
          <w:rFonts w:ascii="Times New Roman" w:hAnsi="Times New Roman" w:cs="Times New Roman"/>
          <w:lang w:val="sk-SK"/>
        </w:rPr>
        <w:t xml:space="preserve">medzi </w:t>
      </w:r>
      <w:r w:rsidRPr="00702F86">
        <w:rPr>
          <w:rFonts w:ascii="Times New Roman" w:hAnsi="Times New Roman" w:cs="Times New Roman"/>
          <w:lang w:val="sk-SK"/>
        </w:rPr>
        <w:t>kontaktnými osobami zmluvných strán uvedených v záhlaví tejto zmluvy.</w:t>
      </w:r>
    </w:p>
    <w:p w14:paraId="2AE31DE0" w14:textId="77777777" w:rsidR="00315DDE" w:rsidRPr="00702F86" w:rsidRDefault="00315DDE" w:rsidP="00315DDE">
      <w:pPr>
        <w:pStyle w:val="Odsekzoznamu"/>
        <w:jc w:val="both"/>
        <w:rPr>
          <w:rFonts w:ascii="Times New Roman" w:hAnsi="Times New Roman" w:cs="Times New Roman"/>
          <w:lang w:val="sk-SK"/>
        </w:rPr>
      </w:pPr>
    </w:p>
    <w:p w14:paraId="65FDE3BA" w14:textId="77777777" w:rsidR="00315DDE" w:rsidRPr="00702F86" w:rsidRDefault="00315DDE" w:rsidP="00315DDE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702F86">
        <w:rPr>
          <w:rFonts w:ascii="Times New Roman" w:hAnsi="Times New Roman" w:cs="Times New Roman"/>
          <w:lang w:val="sk-SK"/>
        </w:rPr>
        <w:t> </w:t>
      </w:r>
      <w:r w:rsidRPr="00702F86">
        <w:rPr>
          <w:rFonts w:ascii="Times New Roman" w:hAnsi="Times New Roman" w:cs="Times New Roman"/>
          <w:lang w:val="sk-SK"/>
        </w:rPr>
        <w:t>procesom analýzy a riešenia bezpečnostného incidentu.</w:t>
      </w:r>
    </w:p>
    <w:p w14:paraId="5816501A" w14:textId="77777777" w:rsidR="002301C2" w:rsidRPr="00702F86" w:rsidRDefault="002301C2" w:rsidP="0032249B">
      <w:pPr>
        <w:pStyle w:val="Odsekzoznamu"/>
        <w:rPr>
          <w:rFonts w:ascii="Times New Roman" w:hAnsi="Times New Roman" w:cs="Times New Roman"/>
          <w:lang w:val="sk-SK"/>
        </w:rPr>
      </w:pPr>
    </w:p>
    <w:p w14:paraId="6B0BE71C" w14:textId="77777777" w:rsidR="002301C2" w:rsidRPr="00702F86" w:rsidRDefault="002301C2" w:rsidP="00315DDE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lang w:val="sk-SK"/>
        </w:rPr>
      </w:pPr>
      <w:r w:rsidRPr="00702F86">
        <w:rPr>
          <w:rFonts w:ascii="Times New Roman" w:hAnsi="Times New Roman" w:cs="Times New Roman"/>
          <w:lang w:val="sk-SK"/>
        </w:rPr>
        <w:t xml:space="preserve">Samotný spôsob a forma hlásenia bezpečnostné incidentu sa bude riadiť platným predpisom </w:t>
      </w:r>
      <w:r w:rsidR="00AD5812" w:rsidRPr="00702F86">
        <w:rPr>
          <w:rFonts w:ascii="Times New Roman" w:hAnsi="Times New Roman" w:cs="Times New Roman"/>
          <w:lang w:val="sk-SK"/>
        </w:rPr>
        <w:t>P</w:t>
      </w:r>
      <w:r w:rsidRPr="00702F86">
        <w:rPr>
          <w:rFonts w:ascii="Times New Roman" w:hAnsi="Times New Roman" w:cs="Times New Roman"/>
          <w:lang w:val="sk-SK"/>
        </w:rPr>
        <w:t>revádzkovateľa – „Riadenie bezpečnostných incidentov“.</w:t>
      </w:r>
    </w:p>
    <w:p w14:paraId="42AE0C11" w14:textId="77777777" w:rsidR="009429A5" w:rsidRPr="00702F86" w:rsidRDefault="009429A5">
      <w:pPr>
        <w:rPr>
          <w:rFonts w:ascii="Times New Roman" w:hAnsi="Times New Roman" w:cs="Times New Roman"/>
        </w:rPr>
      </w:pPr>
      <w:r w:rsidRPr="00702F86">
        <w:rPr>
          <w:rFonts w:ascii="Times New Roman" w:hAnsi="Times New Roman" w:cs="Times New Roman"/>
        </w:rPr>
        <w:br w:type="page"/>
      </w:r>
    </w:p>
    <w:p w14:paraId="2A11BB6C" w14:textId="77777777" w:rsidR="009429A5" w:rsidRPr="00702F86" w:rsidRDefault="009429A5" w:rsidP="00E9599A">
      <w:pPr>
        <w:rPr>
          <w:rFonts w:ascii="Times New Roman" w:hAnsi="Times New Roman" w:cs="Times New Roman"/>
          <w:b/>
        </w:rPr>
      </w:pPr>
      <w:r w:rsidRPr="00702F86">
        <w:rPr>
          <w:rFonts w:ascii="Times New Roman" w:hAnsi="Times New Roman" w:cs="Times New Roman"/>
          <w:b/>
        </w:rPr>
        <w:lastRenderedPageBreak/>
        <w:t>Príloha č. 3</w:t>
      </w:r>
      <w:r w:rsidR="00D34717" w:rsidRPr="00702F86">
        <w:rPr>
          <w:rFonts w:ascii="Times New Roman" w:hAnsi="Times New Roman" w:cs="Times New Roman"/>
          <w:b/>
        </w:rPr>
        <w:tab/>
      </w:r>
      <w:r w:rsidR="00D34717" w:rsidRPr="00702F86">
        <w:rPr>
          <w:rFonts w:ascii="Times New Roman" w:hAnsi="Times New Roman" w:cs="Times New Roman"/>
          <w:b/>
        </w:rPr>
        <w:tab/>
      </w:r>
      <w:r w:rsidRPr="00702F86">
        <w:rPr>
          <w:rFonts w:ascii="Times New Roman" w:hAnsi="Times New Roman" w:cs="Times New Roman"/>
          <w:b/>
        </w:rPr>
        <w:t xml:space="preserve">Zoznam osôb a pracovných rolí </w:t>
      </w:r>
      <w:r w:rsidR="00E9599A" w:rsidRPr="00702F86">
        <w:rPr>
          <w:rFonts w:ascii="Times New Roman" w:hAnsi="Times New Roman" w:cs="Times New Roman"/>
          <w:b/>
        </w:rPr>
        <w:t>Prevádzkovateľa a Dodávateľa</w:t>
      </w:r>
    </w:p>
    <w:p w14:paraId="054FF082" w14:textId="77777777" w:rsidR="005E3EC8" w:rsidRPr="00702F86" w:rsidRDefault="005E3EC8" w:rsidP="009429A5">
      <w:pPr>
        <w:jc w:val="both"/>
        <w:rPr>
          <w:rFonts w:ascii="Times New Roman" w:hAnsi="Times New Roman" w:cs="Times New Roman"/>
          <w:u w:val="single"/>
        </w:rPr>
      </w:pPr>
    </w:p>
    <w:p w14:paraId="66CA6FA2" w14:textId="77777777" w:rsidR="009429A5" w:rsidRPr="00702F86" w:rsidRDefault="009B091B" w:rsidP="009429A5">
      <w:pPr>
        <w:jc w:val="both"/>
        <w:rPr>
          <w:rFonts w:ascii="Times New Roman" w:hAnsi="Times New Roman" w:cs="Times New Roman"/>
          <w:u w:val="single"/>
        </w:rPr>
      </w:pPr>
      <w:r w:rsidRPr="00702F86">
        <w:rPr>
          <w:rFonts w:ascii="Times New Roman" w:hAnsi="Times New Roman" w:cs="Times New Roman"/>
          <w:u w:val="single"/>
        </w:rPr>
        <w:t>Prevádzkovateľ: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1925"/>
        <w:gridCol w:w="1472"/>
        <w:gridCol w:w="2835"/>
        <w:gridCol w:w="1702"/>
        <w:gridCol w:w="1842"/>
      </w:tblGrid>
      <w:tr w:rsidR="00FC2225" w:rsidRPr="00702F86" w14:paraId="5FF0E4D3" w14:textId="77777777" w:rsidTr="00702F86">
        <w:tc>
          <w:tcPr>
            <w:tcW w:w="1925" w:type="dxa"/>
          </w:tcPr>
          <w:p w14:paraId="7F2993D5" w14:textId="77777777" w:rsidR="009B091B" w:rsidRPr="00702F86" w:rsidRDefault="009B091B" w:rsidP="009B091B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Meno a priezvisko</w:t>
            </w:r>
          </w:p>
        </w:tc>
        <w:tc>
          <w:tcPr>
            <w:tcW w:w="1472" w:type="dxa"/>
          </w:tcPr>
          <w:p w14:paraId="7919477D" w14:textId="77777777" w:rsidR="009B091B" w:rsidRPr="00702F86" w:rsidRDefault="009B091B" w:rsidP="009B091B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Rola</w:t>
            </w:r>
          </w:p>
        </w:tc>
        <w:tc>
          <w:tcPr>
            <w:tcW w:w="2835" w:type="dxa"/>
          </w:tcPr>
          <w:p w14:paraId="59D88304" w14:textId="77777777" w:rsidR="009B091B" w:rsidRPr="00702F86" w:rsidRDefault="009B091B" w:rsidP="009B091B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Proces súvisiaci s prevádzkou služby</w:t>
            </w:r>
          </w:p>
        </w:tc>
        <w:tc>
          <w:tcPr>
            <w:tcW w:w="1702" w:type="dxa"/>
          </w:tcPr>
          <w:p w14:paraId="62270CFD" w14:textId="77777777" w:rsidR="009B091B" w:rsidRPr="00702F86" w:rsidRDefault="009B091B" w:rsidP="009B091B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Telefónny kontakt</w:t>
            </w:r>
          </w:p>
        </w:tc>
        <w:tc>
          <w:tcPr>
            <w:tcW w:w="1842" w:type="dxa"/>
          </w:tcPr>
          <w:p w14:paraId="0F2A2C44" w14:textId="77777777" w:rsidR="009B091B" w:rsidRPr="00702F86" w:rsidRDefault="009B091B" w:rsidP="009B091B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</w:tr>
      <w:tr w:rsidR="00FC2225" w:rsidRPr="00702F86" w14:paraId="2F6AD651" w14:textId="77777777" w:rsidTr="00702F86">
        <w:tc>
          <w:tcPr>
            <w:tcW w:w="1925" w:type="dxa"/>
          </w:tcPr>
          <w:p w14:paraId="37874E5E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CD62C36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6AF913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Zodpovednosť za realizáciu projektu</w:t>
            </w:r>
          </w:p>
        </w:tc>
        <w:tc>
          <w:tcPr>
            <w:tcW w:w="1702" w:type="dxa"/>
          </w:tcPr>
          <w:p w14:paraId="65E1FF21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A057BCB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</w:tr>
      <w:tr w:rsidR="00FC2225" w:rsidRPr="00702F86" w14:paraId="112D8C7F" w14:textId="77777777" w:rsidTr="00702F86">
        <w:tc>
          <w:tcPr>
            <w:tcW w:w="1925" w:type="dxa"/>
          </w:tcPr>
          <w:p w14:paraId="30ACA46A" w14:textId="200B6E2D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A2C38D1" w14:textId="1BAB91F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8CA09D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Riadenie informačnej a kybernetickej bezpečnosti</w:t>
            </w:r>
          </w:p>
        </w:tc>
        <w:tc>
          <w:tcPr>
            <w:tcW w:w="1702" w:type="dxa"/>
          </w:tcPr>
          <w:p w14:paraId="56FA7615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90F5AB" w14:textId="69A814DC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</w:tr>
      <w:tr w:rsidR="00FC2225" w:rsidRPr="00702F86" w14:paraId="37F18E6A" w14:textId="77777777" w:rsidTr="00702F86">
        <w:tc>
          <w:tcPr>
            <w:tcW w:w="1925" w:type="dxa"/>
          </w:tcPr>
          <w:p w14:paraId="1B73A2C8" w14:textId="718E65B9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3E388070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8A421DB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Technická podpora pre oblasť bezpečnosti</w:t>
            </w:r>
          </w:p>
        </w:tc>
        <w:tc>
          <w:tcPr>
            <w:tcW w:w="1702" w:type="dxa"/>
          </w:tcPr>
          <w:p w14:paraId="6BB387E0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709ADA" w14:textId="70351C4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</w:tr>
      <w:tr w:rsidR="00FC2225" w:rsidRPr="00702F86" w14:paraId="58162850" w14:textId="77777777" w:rsidTr="00702F86">
        <w:tc>
          <w:tcPr>
            <w:tcW w:w="1925" w:type="dxa"/>
          </w:tcPr>
          <w:p w14:paraId="48F13D97" w14:textId="270443C1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9D4B5D3" w14:textId="7EE15EF1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7DE34F" w14:textId="77777777" w:rsidR="009B091B" w:rsidRDefault="009B091B" w:rsidP="009B091B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Osoba zodpovedná za SLA</w:t>
            </w:r>
          </w:p>
          <w:p w14:paraId="2050560B" w14:textId="77777777" w:rsidR="00702F86" w:rsidRPr="00702F86" w:rsidRDefault="00702F86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501972C" w14:textId="77777777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9114F25" w14:textId="408AC043" w:rsidR="009B091B" w:rsidRPr="00702F86" w:rsidRDefault="009B091B" w:rsidP="009B091B">
            <w:pPr>
              <w:rPr>
                <w:rFonts w:ascii="Times New Roman" w:hAnsi="Times New Roman" w:cs="Times New Roman"/>
              </w:rPr>
            </w:pPr>
          </w:p>
        </w:tc>
      </w:tr>
    </w:tbl>
    <w:p w14:paraId="65157827" w14:textId="77777777" w:rsidR="00315DDE" w:rsidRPr="00702F86" w:rsidRDefault="00315DDE" w:rsidP="00D97782">
      <w:pPr>
        <w:jc w:val="both"/>
        <w:rPr>
          <w:rFonts w:ascii="Times New Roman" w:hAnsi="Times New Roman" w:cs="Times New Roman"/>
        </w:rPr>
      </w:pPr>
    </w:p>
    <w:p w14:paraId="03AF4A03" w14:textId="77777777" w:rsidR="0008795C" w:rsidRPr="00702F86" w:rsidRDefault="009B091B" w:rsidP="00D97782">
      <w:pPr>
        <w:jc w:val="both"/>
        <w:rPr>
          <w:rFonts w:ascii="Times New Roman" w:hAnsi="Times New Roman" w:cs="Times New Roman"/>
          <w:u w:val="single"/>
        </w:rPr>
      </w:pPr>
      <w:r w:rsidRPr="00702F86">
        <w:rPr>
          <w:rFonts w:ascii="Times New Roman" w:hAnsi="Times New Roman" w:cs="Times New Roman"/>
          <w:u w:val="single"/>
        </w:rPr>
        <w:t>Dodávateľ:</w:t>
      </w:r>
    </w:p>
    <w:tbl>
      <w:tblPr>
        <w:tblStyle w:val="Mriekatabuky"/>
        <w:tblW w:w="9859" w:type="dxa"/>
        <w:tblLook w:val="04A0" w:firstRow="1" w:lastRow="0" w:firstColumn="1" w:lastColumn="0" w:noHBand="0" w:noVBand="1"/>
      </w:tblPr>
      <w:tblGrid>
        <w:gridCol w:w="1925"/>
        <w:gridCol w:w="1472"/>
        <w:gridCol w:w="2835"/>
        <w:gridCol w:w="1701"/>
        <w:gridCol w:w="1926"/>
      </w:tblGrid>
      <w:tr w:rsidR="009B091B" w:rsidRPr="00702F86" w14:paraId="026932A6" w14:textId="77777777" w:rsidTr="00702F86">
        <w:tc>
          <w:tcPr>
            <w:tcW w:w="1925" w:type="dxa"/>
          </w:tcPr>
          <w:p w14:paraId="76B70065" w14:textId="77777777" w:rsidR="009B091B" w:rsidRPr="00702F86" w:rsidRDefault="009B091B" w:rsidP="00640911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Meno a priezvisko</w:t>
            </w:r>
          </w:p>
        </w:tc>
        <w:tc>
          <w:tcPr>
            <w:tcW w:w="1472" w:type="dxa"/>
          </w:tcPr>
          <w:p w14:paraId="65972271" w14:textId="77777777" w:rsidR="009B091B" w:rsidRPr="00702F86" w:rsidRDefault="009B091B" w:rsidP="00640911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Rola</w:t>
            </w:r>
          </w:p>
        </w:tc>
        <w:tc>
          <w:tcPr>
            <w:tcW w:w="2835" w:type="dxa"/>
          </w:tcPr>
          <w:p w14:paraId="72113DB6" w14:textId="77777777" w:rsidR="009B091B" w:rsidRPr="00702F86" w:rsidRDefault="009B091B" w:rsidP="00640911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Proces súvisiaci s prevádzkou služby</w:t>
            </w:r>
          </w:p>
        </w:tc>
        <w:tc>
          <w:tcPr>
            <w:tcW w:w="1701" w:type="dxa"/>
          </w:tcPr>
          <w:p w14:paraId="1A796834" w14:textId="77777777" w:rsidR="009B091B" w:rsidRPr="00702F86" w:rsidRDefault="009B091B" w:rsidP="00640911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Telefónny kontakt</w:t>
            </w:r>
          </w:p>
        </w:tc>
        <w:tc>
          <w:tcPr>
            <w:tcW w:w="1926" w:type="dxa"/>
          </w:tcPr>
          <w:p w14:paraId="3E9F5ABF" w14:textId="77777777" w:rsidR="009B091B" w:rsidRPr="00702F86" w:rsidRDefault="009B091B" w:rsidP="00640911">
            <w:pPr>
              <w:rPr>
                <w:rFonts w:ascii="Times New Roman" w:hAnsi="Times New Roman" w:cs="Times New Roman"/>
                <w:b/>
                <w:bCs/>
              </w:rPr>
            </w:pPr>
            <w:r w:rsidRPr="00702F86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</w:tr>
      <w:tr w:rsidR="009B091B" w:rsidRPr="00702F86" w14:paraId="15E3DE74" w14:textId="77777777" w:rsidTr="00702F86">
        <w:tc>
          <w:tcPr>
            <w:tcW w:w="1925" w:type="dxa"/>
          </w:tcPr>
          <w:p w14:paraId="18C8B4F1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66D24297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517ED0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Zodpovednosť za realizáciu projektu</w:t>
            </w:r>
          </w:p>
        </w:tc>
        <w:tc>
          <w:tcPr>
            <w:tcW w:w="1701" w:type="dxa"/>
          </w:tcPr>
          <w:p w14:paraId="707AB0E0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DE06DDF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</w:tr>
      <w:tr w:rsidR="009B091B" w:rsidRPr="00702F86" w14:paraId="463FB3B7" w14:textId="77777777" w:rsidTr="00702F86">
        <w:tc>
          <w:tcPr>
            <w:tcW w:w="1925" w:type="dxa"/>
          </w:tcPr>
          <w:p w14:paraId="61D9C4D5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7A60FE29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03627A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Riadenie informačnej a kybernetickej bezpečnosti</w:t>
            </w:r>
          </w:p>
        </w:tc>
        <w:tc>
          <w:tcPr>
            <w:tcW w:w="1701" w:type="dxa"/>
          </w:tcPr>
          <w:p w14:paraId="7AE5DEA0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5F9A8726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</w:tr>
      <w:tr w:rsidR="009B091B" w:rsidRPr="00702F86" w14:paraId="7D9B0A49" w14:textId="77777777" w:rsidTr="00702F86">
        <w:tc>
          <w:tcPr>
            <w:tcW w:w="1925" w:type="dxa"/>
          </w:tcPr>
          <w:p w14:paraId="14DE5770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30CD2301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C4A37F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Technická podpora pre oblasť bezpečnosti</w:t>
            </w:r>
          </w:p>
        </w:tc>
        <w:tc>
          <w:tcPr>
            <w:tcW w:w="1701" w:type="dxa"/>
          </w:tcPr>
          <w:p w14:paraId="3AC11993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1CFEFF76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</w:tr>
      <w:tr w:rsidR="009B091B" w:rsidRPr="00702F86" w14:paraId="065F980A" w14:textId="77777777" w:rsidTr="00702F86">
        <w:tc>
          <w:tcPr>
            <w:tcW w:w="1925" w:type="dxa"/>
          </w:tcPr>
          <w:p w14:paraId="3FE68A1B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0A4D03C1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AA0ACB" w14:textId="77777777" w:rsidR="009B091B" w:rsidRDefault="009B091B" w:rsidP="00640911">
            <w:pPr>
              <w:rPr>
                <w:rFonts w:ascii="Times New Roman" w:hAnsi="Times New Roman" w:cs="Times New Roman"/>
              </w:rPr>
            </w:pPr>
            <w:r w:rsidRPr="00702F86">
              <w:rPr>
                <w:rFonts w:ascii="Times New Roman" w:hAnsi="Times New Roman" w:cs="Times New Roman"/>
              </w:rPr>
              <w:t>Osoba zodpovedná za SLA</w:t>
            </w:r>
          </w:p>
          <w:p w14:paraId="4795C3B4" w14:textId="77777777" w:rsidR="00702F86" w:rsidRPr="00702F86" w:rsidRDefault="00702F86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8199E5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14:paraId="21F9C74D" w14:textId="77777777" w:rsidR="009B091B" w:rsidRPr="00702F86" w:rsidRDefault="009B091B" w:rsidP="00640911">
            <w:pPr>
              <w:rPr>
                <w:rFonts w:ascii="Times New Roman" w:hAnsi="Times New Roman" w:cs="Times New Roman"/>
              </w:rPr>
            </w:pPr>
          </w:p>
        </w:tc>
      </w:tr>
    </w:tbl>
    <w:p w14:paraId="1C585A8D" w14:textId="77777777" w:rsidR="0008795C" w:rsidRPr="00FC0C6C" w:rsidRDefault="0008795C" w:rsidP="00D97782">
      <w:pPr>
        <w:jc w:val="both"/>
        <w:rPr>
          <w:rFonts w:ascii="Arial" w:hAnsi="Arial" w:cs="Arial"/>
        </w:rPr>
      </w:pPr>
    </w:p>
    <w:p w14:paraId="04969F6E" w14:textId="77777777" w:rsidR="0008795C" w:rsidRPr="00FC0C6C" w:rsidRDefault="0008795C" w:rsidP="0008795C">
      <w:pPr>
        <w:jc w:val="both"/>
        <w:rPr>
          <w:rFonts w:ascii="Arial" w:hAnsi="Arial" w:cs="Arial"/>
        </w:rPr>
      </w:pPr>
    </w:p>
    <w:p w14:paraId="216EE806" w14:textId="77777777" w:rsidR="0008795C" w:rsidRPr="00FC0C6C" w:rsidRDefault="0008795C">
      <w:pPr>
        <w:jc w:val="both"/>
        <w:rPr>
          <w:rFonts w:ascii="Arial" w:hAnsi="Arial" w:cs="Arial"/>
        </w:rPr>
      </w:pPr>
    </w:p>
    <w:p w14:paraId="36C7F656" w14:textId="77777777" w:rsidR="00315DDE" w:rsidRPr="00FC0C6C" w:rsidRDefault="00315DDE" w:rsidP="00D97782">
      <w:pPr>
        <w:jc w:val="both"/>
        <w:rPr>
          <w:rFonts w:ascii="Arial" w:hAnsi="Arial" w:cs="Arial"/>
        </w:rPr>
      </w:pPr>
    </w:p>
    <w:sectPr w:rsidR="00315DDE" w:rsidRPr="00FC0C6C" w:rsidSect="00702F8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340A" w14:textId="77777777" w:rsidR="00B13E90" w:rsidRDefault="00B13E90" w:rsidP="000C038A">
      <w:pPr>
        <w:spacing w:after="0" w:line="240" w:lineRule="auto"/>
      </w:pPr>
      <w:r>
        <w:separator/>
      </w:r>
    </w:p>
  </w:endnote>
  <w:endnote w:type="continuationSeparator" w:id="0">
    <w:p w14:paraId="34D594D0" w14:textId="77777777" w:rsidR="00B13E90" w:rsidRDefault="00B13E90" w:rsidP="000C038A">
      <w:pPr>
        <w:spacing w:after="0" w:line="240" w:lineRule="auto"/>
      </w:pPr>
      <w:r>
        <w:continuationSeparator/>
      </w:r>
    </w:p>
  </w:endnote>
  <w:endnote w:type="continuationNotice" w:id="1">
    <w:p w14:paraId="193D610C" w14:textId="77777777" w:rsidR="00B13E90" w:rsidRDefault="00B13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704538"/>
      <w:docPartObj>
        <w:docPartGallery w:val="Page Numbers (Bottom of Page)"/>
        <w:docPartUnique/>
      </w:docPartObj>
    </w:sdtPr>
    <w:sdtContent>
      <w:p w14:paraId="54FB68E0" w14:textId="77777777" w:rsidR="00CD7198" w:rsidRDefault="00CD7198" w:rsidP="00E959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2B3C" w14:textId="77777777" w:rsidR="00CD7198" w:rsidRDefault="00CD7198">
    <w:pPr>
      <w:pStyle w:val="Pta"/>
      <w:jc w:val="right"/>
    </w:pPr>
  </w:p>
  <w:p w14:paraId="492188B2" w14:textId="77777777" w:rsidR="00CD7198" w:rsidRDefault="00CD71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3FC1" w14:textId="77777777" w:rsidR="00B13E90" w:rsidRDefault="00B13E90" w:rsidP="000C038A">
      <w:pPr>
        <w:spacing w:after="0" w:line="240" w:lineRule="auto"/>
      </w:pPr>
      <w:r>
        <w:separator/>
      </w:r>
    </w:p>
  </w:footnote>
  <w:footnote w:type="continuationSeparator" w:id="0">
    <w:p w14:paraId="42EA6956" w14:textId="77777777" w:rsidR="00B13E90" w:rsidRDefault="00B13E90" w:rsidP="000C038A">
      <w:pPr>
        <w:spacing w:after="0" w:line="240" w:lineRule="auto"/>
      </w:pPr>
      <w:r>
        <w:continuationSeparator/>
      </w:r>
    </w:p>
  </w:footnote>
  <w:footnote w:type="continuationNotice" w:id="1">
    <w:p w14:paraId="33B60C13" w14:textId="77777777" w:rsidR="00B13E90" w:rsidRDefault="00B13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1F1D" w14:textId="341FB5D2" w:rsidR="00702F86" w:rsidRPr="00702F86" w:rsidRDefault="00702F86">
    <w:pPr>
      <w:pStyle w:val="Hlavika"/>
      <w:rPr>
        <w:b/>
        <w:bCs/>
      </w:rPr>
    </w:pPr>
    <w:r w:rsidRPr="00702F86">
      <w:rPr>
        <w:b/>
        <w:bCs/>
      </w:rPr>
      <w:t>(INFORMATÍVNY DOKUMENT)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0CFC" w14:textId="73A2B3DB" w:rsidR="00702F86" w:rsidRPr="00702F86" w:rsidRDefault="00702F86">
    <w:pPr>
      <w:pStyle w:val="Hlavika"/>
      <w:rPr>
        <w:b/>
        <w:bCs/>
      </w:rPr>
    </w:pPr>
    <w:r w:rsidRPr="00702F86">
      <w:rPr>
        <w:b/>
        <w:bCs/>
      </w:rPr>
      <w:t>(INFORMATÍVNY DOKUMENT)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A2413"/>
    <w:multiLevelType w:val="hybridMultilevel"/>
    <w:tmpl w:val="5A8C2874"/>
    <w:lvl w:ilvl="0" w:tplc="729EAFCC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3128F8"/>
    <w:multiLevelType w:val="multilevel"/>
    <w:tmpl w:val="3EF83BCE"/>
    <w:styleLink w:val="AgreementStyle"/>
    <w:lvl w:ilvl="0">
      <w:start w:val="1"/>
      <w:numFmt w:val="decimal"/>
      <w:pStyle w:val="AgreementL1"/>
      <w:lvlText w:val="%1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caps/>
        <w:smallCaps w:val="0"/>
        <w:sz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pStyle w:val="AgreementL7"/>
      <w:lvlText w:val=""/>
      <w:lvlJc w:val="left"/>
      <w:pPr>
        <w:ind w:left="2835" w:firstLine="0"/>
      </w:pPr>
      <w:rPr>
        <w:rFonts w:hint="default"/>
        <w:b w:val="0"/>
        <w:i w:val="0"/>
        <w:sz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1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64858633">
    <w:abstractNumId w:val="8"/>
  </w:num>
  <w:num w:numId="2" w16cid:durableId="108159220">
    <w:abstractNumId w:val="2"/>
  </w:num>
  <w:num w:numId="3" w16cid:durableId="1691637072">
    <w:abstractNumId w:val="55"/>
  </w:num>
  <w:num w:numId="4" w16cid:durableId="1184979019">
    <w:abstractNumId w:val="5"/>
  </w:num>
  <w:num w:numId="5" w16cid:durableId="2067877160">
    <w:abstractNumId w:val="1"/>
  </w:num>
  <w:num w:numId="6" w16cid:durableId="800924784">
    <w:abstractNumId w:val="0"/>
  </w:num>
  <w:num w:numId="7" w16cid:durableId="1944068230">
    <w:abstractNumId w:val="23"/>
  </w:num>
  <w:num w:numId="8" w16cid:durableId="1578782636">
    <w:abstractNumId w:val="44"/>
  </w:num>
  <w:num w:numId="9" w16cid:durableId="448162133">
    <w:abstractNumId w:val="69"/>
  </w:num>
  <w:num w:numId="10" w16cid:durableId="2082098302">
    <w:abstractNumId w:val="37"/>
  </w:num>
  <w:num w:numId="11" w16cid:durableId="1245335857">
    <w:abstractNumId w:val="18"/>
  </w:num>
  <w:num w:numId="12" w16cid:durableId="165629845">
    <w:abstractNumId w:val="7"/>
  </w:num>
  <w:num w:numId="13" w16cid:durableId="601108585">
    <w:abstractNumId w:val="3"/>
  </w:num>
  <w:num w:numId="14" w16cid:durableId="692457168">
    <w:abstractNumId w:val="6"/>
  </w:num>
  <w:num w:numId="15" w16cid:durableId="186796111">
    <w:abstractNumId w:val="53"/>
  </w:num>
  <w:num w:numId="16" w16cid:durableId="1465195706">
    <w:abstractNumId w:val="65"/>
  </w:num>
  <w:num w:numId="17" w16cid:durableId="805702746">
    <w:abstractNumId w:val="4"/>
  </w:num>
  <w:num w:numId="18" w16cid:durableId="1790271288">
    <w:abstractNumId w:val="27"/>
  </w:num>
  <w:num w:numId="19" w16cid:durableId="708453495">
    <w:abstractNumId w:val="52"/>
  </w:num>
  <w:num w:numId="20" w16cid:durableId="676540033">
    <w:abstractNumId w:val="17"/>
  </w:num>
  <w:num w:numId="21" w16cid:durableId="1356270123">
    <w:abstractNumId w:val="33"/>
  </w:num>
  <w:num w:numId="22" w16cid:durableId="1790974052">
    <w:abstractNumId w:val="68"/>
  </w:num>
  <w:num w:numId="23" w16cid:durableId="1860502967">
    <w:abstractNumId w:val="42"/>
  </w:num>
  <w:num w:numId="24" w16cid:durableId="1930776661">
    <w:abstractNumId w:val="20"/>
  </w:num>
  <w:num w:numId="25" w16cid:durableId="1407142451">
    <w:abstractNumId w:val="16"/>
  </w:num>
  <w:num w:numId="26" w16cid:durableId="1644047232">
    <w:abstractNumId w:val="21"/>
  </w:num>
  <w:num w:numId="27" w16cid:durableId="2102220251">
    <w:abstractNumId w:val="54"/>
  </w:num>
  <w:num w:numId="28" w16cid:durableId="1506363617">
    <w:abstractNumId w:val="50"/>
  </w:num>
  <w:num w:numId="29" w16cid:durableId="470221276">
    <w:abstractNumId w:val="13"/>
  </w:num>
  <w:num w:numId="30" w16cid:durableId="36859347">
    <w:abstractNumId w:val="30"/>
  </w:num>
  <w:num w:numId="31" w16cid:durableId="126440291">
    <w:abstractNumId w:val="12"/>
  </w:num>
  <w:num w:numId="32" w16cid:durableId="1843549416">
    <w:abstractNumId w:val="57"/>
  </w:num>
  <w:num w:numId="33" w16cid:durableId="736514685">
    <w:abstractNumId w:val="71"/>
  </w:num>
  <w:num w:numId="34" w16cid:durableId="1111320653">
    <w:abstractNumId w:val="46"/>
  </w:num>
  <w:num w:numId="35" w16cid:durableId="729697189">
    <w:abstractNumId w:val="14"/>
  </w:num>
  <w:num w:numId="36" w16cid:durableId="72512357">
    <w:abstractNumId w:val="31"/>
  </w:num>
  <w:num w:numId="37" w16cid:durableId="1240288416">
    <w:abstractNumId w:val="43"/>
  </w:num>
  <w:num w:numId="38" w16cid:durableId="1235551022">
    <w:abstractNumId w:val="40"/>
  </w:num>
  <w:num w:numId="39" w16cid:durableId="135224474">
    <w:abstractNumId w:val="48"/>
  </w:num>
  <w:num w:numId="40" w16cid:durableId="108790370">
    <w:abstractNumId w:val="24"/>
  </w:num>
  <w:num w:numId="41" w16cid:durableId="192504590">
    <w:abstractNumId w:val="64"/>
  </w:num>
  <w:num w:numId="42" w16cid:durableId="1747797045">
    <w:abstractNumId w:val="59"/>
  </w:num>
  <w:num w:numId="43" w16cid:durableId="586382978">
    <w:abstractNumId w:val="47"/>
  </w:num>
  <w:num w:numId="44" w16cid:durableId="351304119">
    <w:abstractNumId w:val="66"/>
  </w:num>
  <w:num w:numId="45" w16cid:durableId="275261859">
    <w:abstractNumId w:val="61"/>
  </w:num>
  <w:num w:numId="46" w16cid:durableId="1544443952">
    <w:abstractNumId w:val="25"/>
  </w:num>
  <w:num w:numId="47" w16cid:durableId="1672489154">
    <w:abstractNumId w:val="35"/>
  </w:num>
  <w:num w:numId="48" w16cid:durableId="643395554">
    <w:abstractNumId w:val="26"/>
  </w:num>
  <w:num w:numId="49" w16cid:durableId="370615330">
    <w:abstractNumId w:val="62"/>
  </w:num>
  <w:num w:numId="50" w16cid:durableId="1658799637">
    <w:abstractNumId w:val="34"/>
  </w:num>
  <w:num w:numId="51" w16cid:durableId="1419595702">
    <w:abstractNumId w:val="58"/>
  </w:num>
  <w:num w:numId="52" w16cid:durableId="363747602">
    <w:abstractNumId w:val="45"/>
  </w:num>
  <w:num w:numId="53" w16cid:durableId="1040937050">
    <w:abstractNumId w:val="56"/>
  </w:num>
  <w:num w:numId="54" w16cid:durableId="2066681246">
    <w:abstractNumId w:val="9"/>
  </w:num>
  <w:num w:numId="55" w16cid:durableId="1919827834">
    <w:abstractNumId w:val="72"/>
  </w:num>
  <w:num w:numId="56" w16cid:durableId="1849565243">
    <w:abstractNumId w:val="11"/>
  </w:num>
  <w:num w:numId="57" w16cid:durableId="2125807918">
    <w:abstractNumId w:val="38"/>
  </w:num>
  <w:num w:numId="58" w16cid:durableId="534584036">
    <w:abstractNumId w:val="10"/>
  </w:num>
  <w:num w:numId="59" w16cid:durableId="1016612580">
    <w:abstractNumId w:val="70"/>
  </w:num>
  <w:num w:numId="60" w16cid:durableId="1718775171">
    <w:abstractNumId w:val="67"/>
  </w:num>
  <w:num w:numId="61" w16cid:durableId="2064594357">
    <w:abstractNumId w:val="63"/>
  </w:num>
  <w:num w:numId="62" w16cid:durableId="1118647552">
    <w:abstractNumId w:val="39"/>
  </w:num>
  <w:num w:numId="63" w16cid:durableId="412970405">
    <w:abstractNumId w:val="19"/>
  </w:num>
  <w:num w:numId="64" w16cid:durableId="733087703">
    <w:abstractNumId w:val="51"/>
  </w:num>
  <w:num w:numId="65" w16cid:durableId="930746752">
    <w:abstractNumId w:val="29"/>
  </w:num>
  <w:num w:numId="66" w16cid:durableId="133835246">
    <w:abstractNumId w:val="22"/>
  </w:num>
  <w:num w:numId="67" w16cid:durableId="1697268920">
    <w:abstractNumId w:val="49"/>
  </w:num>
  <w:num w:numId="68" w16cid:durableId="74594106">
    <w:abstractNumId w:val="32"/>
  </w:num>
  <w:num w:numId="69" w16cid:durableId="621228846">
    <w:abstractNumId w:val="28"/>
  </w:num>
  <w:num w:numId="70" w16cid:durableId="798230562">
    <w:abstractNumId w:val="41"/>
  </w:num>
  <w:num w:numId="71" w16cid:durableId="1996449759">
    <w:abstractNumId w:val="36"/>
  </w:num>
  <w:num w:numId="72" w16cid:durableId="1754155963">
    <w:abstractNumId w:val="15"/>
  </w:num>
  <w:num w:numId="73" w16cid:durableId="1950038902">
    <w:abstractNumId w:val="60"/>
    <w:lvlOverride w:ilvl="0">
      <w:lvl w:ilvl="0">
        <w:start w:val="1"/>
        <w:numFmt w:val="decimal"/>
        <w:pStyle w:val="AgreementL1"/>
        <w:lvlText w:val="%1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b/>
          <w:caps/>
          <w:smallCaps w:val="0"/>
          <w:sz w:val="20"/>
          <w:szCs w:val="20"/>
        </w:rPr>
      </w:lvl>
    </w:lvlOverride>
    <w:lvlOverride w:ilvl="1">
      <w:lvl w:ilvl="1">
        <w:start w:val="1"/>
        <w:numFmt w:val="decimal"/>
        <w:pStyle w:val="AgreementL2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decimal"/>
        <w:pStyle w:val="AgreementL3"/>
        <w:lvlText w:val="%1.%2.%3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sz w:val="20"/>
          <w:szCs w:val="20"/>
        </w:rPr>
      </w:lvl>
    </w:lvlOverride>
  </w:num>
  <w:num w:numId="74" w16cid:durableId="1264145871">
    <w:abstractNumId w:val="60"/>
    <w:lvlOverride w:ilvl="0">
      <w:lvl w:ilvl="0">
        <w:start w:val="1"/>
        <w:numFmt w:val="decimal"/>
        <w:pStyle w:val="AgreementL1"/>
        <w:lvlText w:val="%1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b/>
          <w:caps/>
          <w:smallCaps w:val="0"/>
          <w:sz w:val="20"/>
          <w:szCs w:val="20"/>
        </w:rPr>
      </w:lvl>
    </w:lvlOverride>
    <w:lvlOverride w:ilvl="1">
      <w:lvl w:ilvl="1">
        <w:start w:val="1"/>
        <w:numFmt w:val="decimal"/>
        <w:pStyle w:val="AgreementL2"/>
        <w:lvlText w:val="%1.%2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0"/>
          <w:szCs w:val="20"/>
        </w:rPr>
      </w:lvl>
    </w:lvlOverride>
  </w:num>
  <w:num w:numId="75" w16cid:durableId="1279220545">
    <w:abstractNumId w:val="6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82"/>
    <w:rsid w:val="000004D6"/>
    <w:rsid w:val="00003F4E"/>
    <w:rsid w:val="000133B8"/>
    <w:rsid w:val="00015CC8"/>
    <w:rsid w:val="00016882"/>
    <w:rsid w:val="000168E9"/>
    <w:rsid w:val="0002259D"/>
    <w:rsid w:val="00022A64"/>
    <w:rsid w:val="00027318"/>
    <w:rsid w:val="00027F4A"/>
    <w:rsid w:val="0003217F"/>
    <w:rsid w:val="00035F30"/>
    <w:rsid w:val="00041E62"/>
    <w:rsid w:val="00045DD1"/>
    <w:rsid w:val="000579F3"/>
    <w:rsid w:val="00057EE1"/>
    <w:rsid w:val="00060C03"/>
    <w:rsid w:val="000624BA"/>
    <w:rsid w:val="00064550"/>
    <w:rsid w:val="00066674"/>
    <w:rsid w:val="000708CF"/>
    <w:rsid w:val="0008131A"/>
    <w:rsid w:val="00085898"/>
    <w:rsid w:val="0008795C"/>
    <w:rsid w:val="000921D0"/>
    <w:rsid w:val="000925A9"/>
    <w:rsid w:val="00093956"/>
    <w:rsid w:val="000A05CE"/>
    <w:rsid w:val="000A521C"/>
    <w:rsid w:val="000B13A4"/>
    <w:rsid w:val="000B1CAE"/>
    <w:rsid w:val="000B3A1E"/>
    <w:rsid w:val="000C038A"/>
    <w:rsid w:val="000E354B"/>
    <w:rsid w:val="000E4A1E"/>
    <w:rsid w:val="000E5FA2"/>
    <w:rsid w:val="000F5DC3"/>
    <w:rsid w:val="001021C7"/>
    <w:rsid w:val="00104E87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33B9"/>
    <w:rsid w:val="00195F74"/>
    <w:rsid w:val="001A4B3D"/>
    <w:rsid w:val="001A5ADC"/>
    <w:rsid w:val="001B2813"/>
    <w:rsid w:val="001B7C1C"/>
    <w:rsid w:val="001C259F"/>
    <w:rsid w:val="001C2D1A"/>
    <w:rsid w:val="001C3DA0"/>
    <w:rsid w:val="001C444A"/>
    <w:rsid w:val="001C7479"/>
    <w:rsid w:val="001C7905"/>
    <w:rsid w:val="001D14F3"/>
    <w:rsid w:val="001D1F26"/>
    <w:rsid w:val="001D2F5C"/>
    <w:rsid w:val="001D3628"/>
    <w:rsid w:val="001D63DB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1600"/>
    <w:rsid w:val="0025364B"/>
    <w:rsid w:val="00255649"/>
    <w:rsid w:val="00256995"/>
    <w:rsid w:val="0026349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0F0"/>
    <w:rsid w:val="002C075E"/>
    <w:rsid w:val="002C3F9E"/>
    <w:rsid w:val="002E2D24"/>
    <w:rsid w:val="002E3D46"/>
    <w:rsid w:val="002F109F"/>
    <w:rsid w:val="002F2271"/>
    <w:rsid w:val="002F7AEB"/>
    <w:rsid w:val="00306E37"/>
    <w:rsid w:val="00307F73"/>
    <w:rsid w:val="00312609"/>
    <w:rsid w:val="00315DDE"/>
    <w:rsid w:val="0032249B"/>
    <w:rsid w:val="00323E4A"/>
    <w:rsid w:val="00336579"/>
    <w:rsid w:val="003405BD"/>
    <w:rsid w:val="0034101D"/>
    <w:rsid w:val="00341952"/>
    <w:rsid w:val="00346B76"/>
    <w:rsid w:val="0034702D"/>
    <w:rsid w:val="00351A38"/>
    <w:rsid w:val="00351DEB"/>
    <w:rsid w:val="003523B7"/>
    <w:rsid w:val="003563F0"/>
    <w:rsid w:val="00357D8B"/>
    <w:rsid w:val="003662B4"/>
    <w:rsid w:val="00373A12"/>
    <w:rsid w:val="00375433"/>
    <w:rsid w:val="003820E5"/>
    <w:rsid w:val="003859E4"/>
    <w:rsid w:val="00386BBA"/>
    <w:rsid w:val="00392AD8"/>
    <w:rsid w:val="003A1E90"/>
    <w:rsid w:val="003B3203"/>
    <w:rsid w:val="003D3F95"/>
    <w:rsid w:val="003D6866"/>
    <w:rsid w:val="003D7A8D"/>
    <w:rsid w:val="003E0A99"/>
    <w:rsid w:val="003E24F4"/>
    <w:rsid w:val="003E6AAE"/>
    <w:rsid w:val="003F01D7"/>
    <w:rsid w:val="003F1E0B"/>
    <w:rsid w:val="00401550"/>
    <w:rsid w:val="00402B34"/>
    <w:rsid w:val="00402DD7"/>
    <w:rsid w:val="0040663B"/>
    <w:rsid w:val="00406B5B"/>
    <w:rsid w:val="004108FB"/>
    <w:rsid w:val="0041288E"/>
    <w:rsid w:val="00422037"/>
    <w:rsid w:val="00424217"/>
    <w:rsid w:val="0042444A"/>
    <w:rsid w:val="00425BCC"/>
    <w:rsid w:val="00425DA7"/>
    <w:rsid w:val="00425F5B"/>
    <w:rsid w:val="00434E9A"/>
    <w:rsid w:val="00440513"/>
    <w:rsid w:val="004412CF"/>
    <w:rsid w:val="00443F89"/>
    <w:rsid w:val="00446539"/>
    <w:rsid w:val="0044669C"/>
    <w:rsid w:val="00446D8D"/>
    <w:rsid w:val="00447A57"/>
    <w:rsid w:val="004555B8"/>
    <w:rsid w:val="00455AF0"/>
    <w:rsid w:val="00470B38"/>
    <w:rsid w:val="004714F2"/>
    <w:rsid w:val="00474F2C"/>
    <w:rsid w:val="00476F1E"/>
    <w:rsid w:val="004773CB"/>
    <w:rsid w:val="00477BCB"/>
    <w:rsid w:val="00482754"/>
    <w:rsid w:val="00484636"/>
    <w:rsid w:val="00486321"/>
    <w:rsid w:val="00487798"/>
    <w:rsid w:val="00487AB0"/>
    <w:rsid w:val="004937EE"/>
    <w:rsid w:val="004A302A"/>
    <w:rsid w:val="004A3C67"/>
    <w:rsid w:val="004C2EE0"/>
    <w:rsid w:val="004D3147"/>
    <w:rsid w:val="004E1271"/>
    <w:rsid w:val="004E19D1"/>
    <w:rsid w:val="004E65B6"/>
    <w:rsid w:val="004F44EC"/>
    <w:rsid w:val="0051014E"/>
    <w:rsid w:val="00516927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777DC"/>
    <w:rsid w:val="00580524"/>
    <w:rsid w:val="00582F2F"/>
    <w:rsid w:val="00585B46"/>
    <w:rsid w:val="00585FA5"/>
    <w:rsid w:val="0058661A"/>
    <w:rsid w:val="00595C2E"/>
    <w:rsid w:val="0059729C"/>
    <w:rsid w:val="00597FEA"/>
    <w:rsid w:val="005A5081"/>
    <w:rsid w:val="005B1A51"/>
    <w:rsid w:val="005B54BA"/>
    <w:rsid w:val="005B59A6"/>
    <w:rsid w:val="005B5CBC"/>
    <w:rsid w:val="005B5FC5"/>
    <w:rsid w:val="005C02E5"/>
    <w:rsid w:val="005C7620"/>
    <w:rsid w:val="005D1A80"/>
    <w:rsid w:val="005D2F73"/>
    <w:rsid w:val="005D37DC"/>
    <w:rsid w:val="005D6B7D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34E9"/>
    <w:rsid w:val="00645A12"/>
    <w:rsid w:val="00656BA1"/>
    <w:rsid w:val="00661CFE"/>
    <w:rsid w:val="006633C9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86589"/>
    <w:rsid w:val="00697C8F"/>
    <w:rsid w:val="006C038B"/>
    <w:rsid w:val="006C473D"/>
    <w:rsid w:val="006C56D3"/>
    <w:rsid w:val="006D7B8D"/>
    <w:rsid w:val="006E07F9"/>
    <w:rsid w:val="006E3C5A"/>
    <w:rsid w:val="006E3FE7"/>
    <w:rsid w:val="006E4160"/>
    <w:rsid w:val="006E64A0"/>
    <w:rsid w:val="006F671E"/>
    <w:rsid w:val="00700041"/>
    <w:rsid w:val="00702F86"/>
    <w:rsid w:val="00722670"/>
    <w:rsid w:val="00730152"/>
    <w:rsid w:val="007340A4"/>
    <w:rsid w:val="00765BB3"/>
    <w:rsid w:val="0077416A"/>
    <w:rsid w:val="00774DCF"/>
    <w:rsid w:val="00776E96"/>
    <w:rsid w:val="007770D5"/>
    <w:rsid w:val="007779E5"/>
    <w:rsid w:val="00777C96"/>
    <w:rsid w:val="0078121F"/>
    <w:rsid w:val="00783B7F"/>
    <w:rsid w:val="00786055"/>
    <w:rsid w:val="007867A8"/>
    <w:rsid w:val="007872D1"/>
    <w:rsid w:val="00792D02"/>
    <w:rsid w:val="007951AB"/>
    <w:rsid w:val="0079784C"/>
    <w:rsid w:val="007A1D4C"/>
    <w:rsid w:val="007B3875"/>
    <w:rsid w:val="007C0377"/>
    <w:rsid w:val="007C27BA"/>
    <w:rsid w:val="007C5E2C"/>
    <w:rsid w:val="007D337A"/>
    <w:rsid w:val="007E6231"/>
    <w:rsid w:val="007F0C1A"/>
    <w:rsid w:val="007F5EBA"/>
    <w:rsid w:val="007F79C8"/>
    <w:rsid w:val="007F7E9D"/>
    <w:rsid w:val="00801260"/>
    <w:rsid w:val="00807AE0"/>
    <w:rsid w:val="00812EEA"/>
    <w:rsid w:val="008378D2"/>
    <w:rsid w:val="008411FC"/>
    <w:rsid w:val="008476BF"/>
    <w:rsid w:val="008546BE"/>
    <w:rsid w:val="0086149D"/>
    <w:rsid w:val="00863A0F"/>
    <w:rsid w:val="008657AD"/>
    <w:rsid w:val="00872A6A"/>
    <w:rsid w:val="00877D70"/>
    <w:rsid w:val="0088326B"/>
    <w:rsid w:val="00884291"/>
    <w:rsid w:val="00892377"/>
    <w:rsid w:val="00897B2E"/>
    <w:rsid w:val="008A274D"/>
    <w:rsid w:val="008A57DA"/>
    <w:rsid w:val="008B4374"/>
    <w:rsid w:val="008B61FC"/>
    <w:rsid w:val="008B6BEE"/>
    <w:rsid w:val="008C2F9B"/>
    <w:rsid w:val="008D2315"/>
    <w:rsid w:val="008D32D3"/>
    <w:rsid w:val="008D4080"/>
    <w:rsid w:val="008D4BD6"/>
    <w:rsid w:val="008D5CB9"/>
    <w:rsid w:val="008E0ADD"/>
    <w:rsid w:val="008E1AD7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2371B"/>
    <w:rsid w:val="0092555B"/>
    <w:rsid w:val="0093664F"/>
    <w:rsid w:val="009429A5"/>
    <w:rsid w:val="00950985"/>
    <w:rsid w:val="009511F7"/>
    <w:rsid w:val="009521E2"/>
    <w:rsid w:val="00956170"/>
    <w:rsid w:val="00963026"/>
    <w:rsid w:val="009731EE"/>
    <w:rsid w:val="00973556"/>
    <w:rsid w:val="00974A79"/>
    <w:rsid w:val="00984079"/>
    <w:rsid w:val="0098634D"/>
    <w:rsid w:val="009924AF"/>
    <w:rsid w:val="00996A46"/>
    <w:rsid w:val="00996C66"/>
    <w:rsid w:val="009B047E"/>
    <w:rsid w:val="009B091B"/>
    <w:rsid w:val="009B3E2A"/>
    <w:rsid w:val="009B4BB4"/>
    <w:rsid w:val="009B5213"/>
    <w:rsid w:val="009D2C7A"/>
    <w:rsid w:val="00A0450B"/>
    <w:rsid w:val="00A067D1"/>
    <w:rsid w:val="00A068FB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85F71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2354"/>
    <w:rsid w:val="00AD4632"/>
    <w:rsid w:val="00AD5812"/>
    <w:rsid w:val="00AE568A"/>
    <w:rsid w:val="00AF13A1"/>
    <w:rsid w:val="00AF5B12"/>
    <w:rsid w:val="00AF68D1"/>
    <w:rsid w:val="00B072E1"/>
    <w:rsid w:val="00B13E90"/>
    <w:rsid w:val="00B228C7"/>
    <w:rsid w:val="00B23AAD"/>
    <w:rsid w:val="00B27E0C"/>
    <w:rsid w:val="00B414BB"/>
    <w:rsid w:val="00B4385E"/>
    <w:rsid w:val="00B458EF"/>
    <w:rsid w:val="00B52E74"/>
    <w:rsid w:val="00B5390A"/>
    <w:rsid w:val="00B54969"/>
    <w:rsid w:val="00B57ADB"/>
    <w:rsid w:val="00B669EB"/>
    <w:rsid w:val="00B7070D"/>
    <w:rsid w:val="00B735C9"/>
    <w:rsid w:val="00B80268"/>
    <w:rsid w:val="00B82B5B"/>
    <w:rsid w:val="00B95497"/>
    <w:rsid w:val="00BB0E79"/>
    <w:rsid w:val="00BB20ED"/>
    <w:rsid w:val="00BB37F5"/>
    <w:rsid w:val="00BB40BE"/>
    <w:rsid w:val="00BB5DE5"/>
    <w:rsid w:val="00BB6A73"/>
    <w:rsid w:val="00BC02E8"/>
    <w:rsid w:val="00BD000D"/>
    <w:rsid w:val="00BD0E12"/>
    <w:rsid w:val="00BD715C"/>
    <w:rsid w:val="00BE3336"/>
    <w:rsid w:val="00BE762B"/>
    <w:rsid w:val="00BF5465"/>
    <w:rsid w:val="00C02559"/>
    <w:rsid w:val="00C07918"/>
    <w:rsid w:val="00C12DEB"/>
    <w:rsid w:val="00C16026"/>
    <w:rsid w:val="00C16581"/>
    <w:rsid w:val="00C206B7"/>
    <w:rsid w:val="00C225E6"/>
    <w:rsid w:val="00C22B04"/>
    <w:rsid w:val="00C241F5"/>
    <w:rsid w:val="00C24D2F"/>
    <w:rsid w:val="00C33392"/>
    <w:rsid w:val="00C37938"/>
    <w:rsid w:val="00C513E7"/>
    <w:rsid w:val="00C516E1"/>
    <w:rsid w:val="00C578B1"/>
    <w:rsid w:val="00C60B03"/>
    <w:rsid w:val="00C6250B"/>
    <w:rsid w:val="00C6524C"/>
    <w:rsid w:val="00C67D8F"/>
    <w:rsid w:val="00C81077"/>
    <w:rsid w:val="00C81B25"/>
    <w:rsid w:val="00C81D07"/>
    <w:rsid w:val="00C97388"/>
    <w:rsid w:val="00CA0D66"/>
    <w:rsid w:val="00CA645F"/>
    <w:rsid w:val="00CB235B"/>
    <w:rsid w:val="00CB2720"/>
    <w:rsid w:val="00CB327D"/>
    <w:rsid w:val="00CB460B"/>
    <w:rsid w:val="00CB6E5F"/>
    <w:rsid w:val="00CB7E0F"/>
    <w:rsid w:val="00CC1013"/>
    <w:rsid w:val="00CD131E"/>
    <w:rsid w:val="00CD4835"/>
    <w:rsid w:val="00CD7198"/>
    <w:rsid w:val="00CE0E65"/>
    <w:rsid w:val="00CF0531"/>
    <w:rsid w:val="00CF6E0C"/>
    <w:rsid w:val="00D010EE"/>
    <w:rsid w:val="00D02DF0"/>
    <w:rsid w:val="00D062F7"/>
    <w:rsid w:val="00D10FEE"/>
    <w:rsid w:val="00D131AF"/>
    <w:rsid w:val="00D217F5"/>
    <w:rsid w:val="00D2665B"/>
    <w:rsid w:val="00D345AF"/>
    <w:rsid w:val="00D34717"/>
    <w:rsid w:val="00D355F2"/>
    <w:rsid w:val="00D37B06"/>
    <w:rsid w:val="00D42E17"/>
    <w:rsid w:val="00D44374"/>
    <w:rsid w:val="00D554A7"/>
    <w:rsid w:val="00D61397"/>
    <w:rsid w:val="00D64DA1"/>
    <w:rsid w:val="00D651B6"/>
    <w:rsid w:val="00D74A3B"/>
    <w:rsid w:val="00D81A90"/>
    <w:rsid w:val="00D85C7D"/>
    <w:rsid w:val="00D86882"/>
    <w:rsid w:val="00D97782"/>
    <w:rsid w:val="00DA4D6A"/>
    <w:rsid w:val="00DA537A"/>
    <w:rsid w:val="00DA7410"/>
    <w:rsid w:val="00DB1AA7"/>
    <w:rsid w:val="00DC16A5"/>
    <w:rsid w:val="00DC3461"/>
    <w:rsid w:val="00DC5393"/>
    <w:rsid w:val="00DC6920"/>
    <w:rsid w:val="00DE1D22"/>
    <w:rsid w:val="00DE51FC"/>
    <w:rsid w:val="00DF4E33"/>
    <w:rsid w:val="00DF62F9"/>
    <w:rsid w:val="00E03FC7"/>
    <w:rsid w:val="00E066C1"/>
    <w:rsid w:val="00E141B7"/>
    <w:rsid w:val="00E152E0"/>
    <w:rsid w:val="00E33992"/>
    <w:rsid w:val="00E37F7A"/>
    <w:rsid w:val="00E437EF"/>
    <w:rsid w:val="00E44CBF"/>
    <w:rsid w:val="00E47E38"/>
    <w:rsid w:val="00E516CB"/>
    <w:rsid w:val="00E6254E"/>
    <w:rsid w:val="00E6519C"/>
    <w:rsid w:val="00E71763"/>
    <w:rsid w:val="00E85CEE"/>
    <w:rsid w:val="00E934AB"/>
    <w:rsid w:val="00E944C8"/>
    <w:rsid w:val="00E954E8"/>
    <w:rsid w:val="00E9599A"/>
    <w:rsid w:val="00EA04A9"/>
    <w:rsid w:val="00EA1BD9"/>
    <w:rsid w:val="00EA5448"/>
    <w:rsid w:val="00EA690A"/>
    <w:rsid w:val="00EA7F72"/>
    <w:rsid w:val="00EC040A"/>
    <w:rsid w:val="00EC4AD5"/>
    <w:rsid w:val="00ED03EF"/>
    <w:rsid w:val="00ED6AFE"/>
    <w:rsid w:val="00EE05C7"/>
    <w:rsid w:val="00EF2F1E"/>
    <w:rsid w:val="00EF42DE"/>
    <w:rsid w:val="00EF4B5E"/>
    <w:rsid w:val="00F00554"/>
    <w:rsid w:val="00F014F3"/>
    <w:rsid w:val="00F0348D"/>
    <w:rsid w:val="00F104C0"/>
    <w:rsid w:val="00F105FF"/>
    <w:rsid w:val="00F11995"/>
    <w:rsid w:val="00F12440"/>
    <w:rsid w:val="00F12FBA"/>
    <w:rsid w:val="00F20412"/>
    <w:rsid w:val="00F22953"/>
    <w:rsid w:val="00F274F5"/>
    <w:rsid w:val="00F306C7"/>
    <w:rsid w:val="00F31232"/>
    <w:rsid w:val="00F40248"/>
    <w:rsid w:val="00F43932"/>
    <w:rsid w:val="00F47EE0"/>
    <w:rsid w:val="00F51F2B"/>
    <w:rsid w:val="00F52F15"/>
    <w:rsid w:val="00F60770"/>
    <w:rsid w:val="00F6504C"/>
    <w:rsid w:val="00F6564E"/>
    <w:rsid w:val="00F66269"/>
    <w:rsid w:val="00F66825"/>
    <w:rsid w:val="00F72D1A"/>
    <w:rsid w:val="00F77803"/>
    <w:rsid w:val="00F83C46"/>
    <w:rsid w:val="00F94BCC"/>
    <w:rsid w:val="00F96E98"/>
    <w:rsid w:val="00FA25BD"/>
    <w:rsid w:val="00FB29CD"/>
    <w:rsid w:val="00FC0C6C"/>
    <w:rsid w:val="00FC2225"/>
    <w:rsid w:val="00FC63C6"/>
    <w:rsid w:val="00FD0F73"/>
    <w:rsid w:val="00FD4479"/>
    <w:rsid w:val="00FE62AA"/>
    <w:rsid w:val="00FE6F59"/>
    <w:rsid w:val="00FF57C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5F352"/>
  <w15:chartTrackingRefBased/>
  <w15:docId w15:val="{7B93FA2E-6CBA-499B-B83E-089D8BD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9"/>
    <w:unhideWhenUsed/>
    <w:qFormat/>
    <w:rsid w:val="00884291"/>
    <w:pPr>
      <w:widowControl w:val="0"/>
      <w:autoSpaceDE w:val="0"/>
      <w:autoSpaceDN w:val="0"/>
      <w:spacing w:after="0" w:line="240" w:lineRule="auto"/>
      <w:ind w:left="5894"/>
      <w:outlineLvl w:val="1"/>
    </w:pPr>
    <w:rPr>
      <w:rFonts w:ascii="Carlito" w:eastAsia="Carlito" w:hAnsi="Carlito" w:cs="Carlito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34702D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15DDE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45D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D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D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DD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E568A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B82B5B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38A"/>
  </w:style>
  <w:style w:type="paragraph" w:styleId="Pta">
    <w:name w:val="footer"/>
    <w:basedOn w:val="Normlny"/>
    <w:link w:val="Pta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38A"/>
  </w:style>
  <w:style w:type="character" w:customStyle="1" w:styleId="fontstyle01">
    <w:name w:val="fontstyle01"/>
    <w:basedOn w:val="Predvolenpsmoodseku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9"/>
    <w:rsid w:val="00884291"/>
    <w:rPr>
      <w:rFonts w:ascii="Carlito" w:eastAsia="Carlito" w:hAnsi="Carlito" w:cs="Carlito"/>
      <w:b/>
      <w:bCs/>
      <w:sz w:val="21"/>
      <w:szCs w:val="21"/>
    </w:rPr>
  </w:style>
  <w:style w:type="paragraph" w:styleId="Zkladntext">
    <w:name w:val="Body Text"/>
    <w:basedOn w:val="Normlny"/>
    <w:link w:val="ZkladntextChar"/>
    <w:uiPriority w:val="1"/>
    <w:qFormat/>
    <w:rsid w:val="0088429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884291"/>
    <w:rPr>
      <w:rFonts w:ascii="Carlito" w:eastAsia="Carlito" w:hAnsi="Carlito" w:cs="Carlito"/>
      <w:sz w:val="21"/>
      <w:szCs w:val="21"/>
    </w:rPr>
  </w:style>
  <w:style w:type="character" w:customStyle="1" w:styleId="ra">
    <w:name w:val="ra"/>
    <w:basedOn w:val="Predvolenpsmoodseku"/>
    <w:rsid w:val="00425DA7"/>
  </w:style>
  <w:style w:type="paragraph" w:customStyle="1" w:styleId="AgreementL1">
    <w:name w:val="Agreement L1"/>
    <w:basedOn w:val="Normlny"/>
    <w:qFormat/>
    <w:rsid w:val="005777DC"/>
    <w:pPr>
      <w:keepNext/>
      <w:numPr>
        <w:numId w:val="73"/>
      </w:numPr>
      <w:autoSpaceDE w:val="0"/>
      <w:autoSpaceDN w:val="0"/>
      <w:spacing w:before="240" w:after="0" w:line="240" w:lineRule="auto"/>
    </w:pPr>
    <w:rPr>
      <w:rFonts w:ascii="Times New Roman" w:eastAsia="Calibri" w:hAnsi="Times New Roman" w:cs="Times New Roman"/>
      <w:b/>
      <w:caps/>
      <w:szCs w:val="24"/>
      <w:lang w:eastAsia="sk-SK"/>
    </w:rPr>
  </w:style>
  <w:style w:type="paragraph" w:customStyle="1" w:styleId="AgreementL2">
    <w:name w:val="Agreement L2"/>
    <w:basedOn w:val="AgreementL1"/>
    <w:qFormat/>
    <w:rsid w:val="005777DC"/>
    <w:pPr>
      <w:keepNext w:val="0"/>
      <w:numPr>
        <w:ilvl w:val="1"/>
      </w:numPr>
    </w:pPr>
    <w:rPr>
      <w:b w:val="0"/>
      <w:caps w:val="0"/>
    </w:rPr>
  </w:style>
  <w:style w:type="paragraph" w:customStyle="1" w:styleId="AgreementL3">
    <w:name w:val="Agreement L3"/>
    <w:basedOn w:val="AgreementL2"/>
    <w:qFormat/>
    <w:rsid w:val="005777DC"/>
    <w:pPr>
      <w:numPr>
        <w:ilvl w:val="2"/>
      </w:numPr>
    </w:pPr>
  </w:style>
  <w:style w:type="paragraph" w:customStyle="1" w:styleId="AgreementL4">
    <w:name w:val="Agreement L4"/>
    <w:basedOn w:val="AgreementL3"/>
    <w:qFormat/>
    <w:rsid w:val="005777DC"/>
    <w:pPr>
      <w:numPr>
        <w:ilvl w:val="3"/>
      </w:numPr>
    </w:pPr>
  </w:style>
  <w:style w:type="paragraph" w:customStyle="1" w:styleId="AgreementL5">
    <w:name w:val="Agreement L5"/>
    <w:basedOn w:val="AgreementL4"/>
    <w:qFormat/>
    <w:rsid w:val="005777DC"/>
    <w:pPr>
      <w:numPr>
        <w:ilvl w:val="4"/>
      </w:numPr>
    </w:pPr>
  </w:style>
  <w:style w:type="paragraph" w:customStyle="1" w:styleId="AgreementL6">
    <w:name w:val="Agreement L6"/>
    <w:basedOn w:val="AgreementL5"/>
    <w:qFormat/>
    <w:rsid w:val="005777DC"/>
    <w:pPr>
      <w:numPr>
        <w:ilvl w:val="5"/>
      </w:numPr>
    </w:pPr>
  </w:style>
  <w:style w:type="paragraph" w:customStyle="1" w:styleId="AgreementL7">
    <w:name w:val="Agreement L7"/>
    <w:basedOn w:val="Normlny"/>
    <w:qFormat/>
    <w:rsid w:val="005777DC"/>
    <w:pPr>
      <w:numPr>
        <w:ilvl w:val="6"/>
        <w:numId w:val="73"/>
      </w:numPr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szCs w:val="24"/>
      <w:lang w:val="en-US" w:eastAsia="sk-SK"/>
    </w:rPr>
  </w:style>
  <w:style w:type="paragraph" w:customStyle="1" w:styleId="AgreementL8">
    <w:name w:val="Agreement L8"/>
    <w:basedOn w:val="AgreementL7"/>
    <w:qFormat/>
    <w:rsid w:val="005777DC"/>
    <w:pPr>
      <w:numPr>
        <w:ilvl w:val="7"/>
      </w:numPr>
    </w:pPr>
  </w:style>
  <w:style w:type="paragraph" w:customStyle="1" w:styleId="AgreementL9">
    <w:name w:val="Agreement L9"/>
    <w:basedOn w:val="AgreementL8"/>
    <w:qFormat/>
    <w:rsid w:val="005777DC"/>
    <w:pPr>
      <w:numPr>
        <w:ilvl w:val="8"/>
      </w:numPr>
    </w:pPr>
  </w:style>
  <w:style w:type="numbering" w:customStyle="1" w:styleId="AgreementStyle">
    <w:name w:val="Agreement Style"/>
    <w:basedOn w:val="Bezzoznamu"/>
    <w:uiPriority w:val="99"/>
    <w:rsid w:val="005777DC"/>
    <w:pPr>
      <w:numPr>
        <w:numId w:val="7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irt@nzcisk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F69D35872B34299DE4E8AD636DC24" ma:contentTypeVersion="8" ma:contentTypeDescription="Create a new document." ma:contentTypeScope="" ma:versionID="51c5572c1a5a18b506f99baa82802704">
  <xsd:schema xmlns:xsd="http://www.w3.org/2001/XMLSchema" xmlns:xs="http://www.w3.org/2001/XMLSchema" xmlns:p="http://schemas.microsoft.com/office/2006/metadata/properties" xmlns:ns3="d7ac8c93-a24b-430f-b112-781155c75df5" xmlns:ns4="ec660c2b-61e9-4845-9102-b8d52d167af9" targetNamespace="http://schemas.microsoft.com/office/2006/metadata/properties" ma:root="true" ma:fieldsID="9785aac4124465cc2f52dec243a6ea3f" ns3:_="" ns4:_="">
    <xsd:import namespace="d7ac8c93-a24b-430f-b112-781155c75df5"/>
    <xsd:import namespace="ec660c2b-61e9-4845-9102-b8d52d167a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8c93-a24b-430f-b112-781155c75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60c2b-61e9-4845-9102-b8d52d167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64423-6004-4D14-81BF-E1EEE5720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67170-CBD4-4C49-A3EB-E979F6C25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B9A32-76F2-4785-8D1C-3A242F7D9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2AB358-FDE8-4678-B192-4E0564DE0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c8c93-a24b-430f-b112-781155c75df5"/>
    <ds:schemaRef ds:uri="ec660c2b-61e9-4845-9102-b8d52d16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5637</Words>
  <Characters>32135</Characters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2022-06-07T08:34:00Z</cp:lastPrinted>
  <dcterms:created xsi:type="dcterms:W3CDTF">2023-07-17T10:37:00Z</dcterms:created>
  <dcterms:modified xsi:type="dcterms:W3CDTF">2023-08-07T06:11:00Z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0x0101007F4F69D35872B34299DE4E8AD636DC24</vt:lpwstr>
  </property>
  <property fmtid="{D5CDD505-2E9C-101B-9397-08002B2CF9AE}" pid="3" name="MSIP_Label_ffb520d8-df98-444b-9f20-0dd9d08cf98c_Enabled">
    <vt:lpwstr>true</vt:lpwstr>
  </property>
  <property fmtid="{D5CDD505-2E9C-101B-9397-08002B2CF9AE}" pid="4" name="MSIP_Label_ffb520d8-df98-444b-9f20-0dd9d08cf98c_SetDate">
    <vt:lpwstr>2022-11-11T07:04:40Z</vt:lpwstr>
  </property>
  <property fmtid="{D5CDD505-2E9C-101B-9397-08002B2CF9AE}" pid="5" name="MSIP_Label_ffb520d8-df98-444b-9f20-0dd9d08cf98c_Method">
    <vt:lpwstr>Standard</vt:lpwstr>
  </property>
  <property fmtid="{D5CDD505-2E9C-101B-9397-08002B2CF9AE}" pid="6" name="MSIP_Label_ffb520d8-df98-444b-9f20-0dd9d08cf98c_Name">
    <vt:lpwstr>ffb520d8-df98-444b-9f20-0dd9d08cf98c</vt:lpwstr>
  </property>
  <property fmtid="{D5CDD505-2E9C-101B-9397-08002B2CF9AE}" pid="7" name="MSIP_Label_ffb520d8-df98-444b-9f20-0dd9d08cf98c_SiteId">
    <vt:lpwstr>65bc0b3b-7ca2-488c-ba9c-b1bebdd49af6</vt:lpwstr>
  </property>
  <property fmtid="{D5CDD505-2E9C-101B-9397-08002B2CF9AE}" pid="8" name="MSIP_Label_ffb520d8-df98-444b-9f20-0dd9d08cf98c_ActionId">
    <vt:lpwstr>efd0e4e2-e316-4b7f-9a0e-87054eb19301</vt:lpwstr>
  </property>
  <property fmtid="{D5CDD505-2E9C-101B-9397-08002B2CF9AE}" pid="9" name="MSIP_Label_ffb520d8-df98-444b-9f20-0dd9d08cf98c_ContentBits">
    <vt:lpwstr>0</vt:lpwstr>
  </property>
</Properties>
</file>