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0D282" w14:textId="77777777" w:rsidR="00A319D7" w:rsidRDefault="00A319D7" w:rsidP="00A319D7">
      <w:bookmarkStart w:id="0" w:name="_GoBack"/>
      <w:bookmarkEnd w:id="0"/>
    </w:p>
    <w:p w14:paraId="0BF15781" w14:textId="4A6B451A" w:rsidR="001A15A5" w:rsidRPr="001A15A5" w:rsidRDefault="001A15A5" w:rsidP="00F472D6">
      <w:pPr>
        <w:rPr>
          <w:b/>
          <w:u w:val="single"/>
        </w:rPr>
      </w:pPr>
      <w:r w:rsidRPr="001A15A5">
        <w:rPr>
          <w:b/>
          <w:u w:val="single"/>
        </w:rPr>
        <w:t>Odôvodnenie nerozdelenia zákazky podľa ustanovenia § 28 ods. 2 ZVO</w:t>
      </w:r>
    </w:p>
    <w:p w14:paraId="31CA6855" w14:textId="22149DAA" w:rsidR="008F7574" w:rsidRPr="00671F82" w:rsidRDefault="008F7574" w:rsidP="00F472D6">
      <w:r>
        <w:t xml:space="preserve">Verejný obstarávateľ má podľa ustanovenia § 28 ods. 2 zákona č. 343/2015 Z. z. o verejnom obstarávaní a o zmene a doplnení niektorých zákonov v znení neskorších predpisov (ďalej aj ako „ZVO“) povinnosť v prípade, ak </w:t>
      </w:r>
      <w:r w:rsidRPr="008F7574">
        <w:rPr>
          <w:rFonts w:cs="Arial"/>
          <w:szCs w:val="20"/>
        </w:rPr>
        <w:t xml:space="preserve">nerozdelí zákazku na časti, odôvodnenie uviesť v oznámení o vyhlásení verejného obstarávania alebo v súťažných </w:t>
      </w:r>
      <w:r w:rsidRPr="00671F82">
        <w:rPr>
          <w:rFonts w:cs="Arial"/>
          <w:szCs w:val="20"/>
        </w:rPr>
        <w:t>podkladoch</w:t>
      </w:r>
      <w:r w:rsidRPr="00671F82">
        <w:t>.</w:t>
      </w:r>
    </w:p>
    <w:p w14:paraId="4A3348D2" w14:textId="34CA7833" w:rsidR="008F7574" w:rsidRPr="00671F82" w:rsidRDefault="00F472D6" w:rsidP="008F7574">
      <w:r w:rsidRPr="00671F82">
        <w:t>V nadväznosti na vyššie uvedenú povinnosť Verejný obstarávateľ uvádza nasledovné odôvodnenie nerozdelenia zákazky na časti:</w:t>
      </w:r>
    </w:p>
    <w:p w14:paraId="6F588245" w14:textId="7E5C7E57" w:rsidR="00F472D6" w:rsidRPr="00671F82" w:rsidRDefault="00A319D7" w:rsidP="00F472D6">
      <w:r w:rsidRPr="00671F82">
        <w:t xml:space="preserve">Predmet zákazky je koncipovaný ako dodanie, inštalácia a 5 ročný servis </w:t>
      </w:r>
      <w:r w:rsidR="00671F82" w:rsidRPr="00671F82">
        <w:t>štrnástich Technologických zariadení L2CNG staníc</w:t>
      </w:r>
      <w:r w:rsidRPr="00671F82">
        <w:t xml:space="preserve">. </w:t>
      </w:r>
    </w:p>
    <w:p w14:paraId="29C62EE7" w14:textId="39C86E41" w:rsidR="00F472D6" w:rsidRDefault="00B4357F" w:rsidP="00F472D6">
      <w:r w:rsidRPr="00671F82">
        <w:t>Predmet zákazky je iba jedna časť komplexného</w:t>
      </w:r>
      <w:r>
        <w:t xml:space="preserve"> Projektu</w:t>
      </w:r>
      <w:r w:rsidRPr="00B4357F">
        <w:t xml:space="preserve"> </w:t>
      </w:r>
      <w:proofErr w:type="spellStart"/>
      <w:r w:rsidRPr="00A37746">
        <w:t>fueL</w:t>
      </w:r>
      <w:r>
        <w:t>C</w:t>
      </w:r>
      <w:r w:rsidRPr="00A37746">
        <w:t>NG</w:t>
      </w:r>
      <w:proofErr w:type="spellEnd"/>
      <w:r>
        <w:t xml:space="preserve">, ktorého súčasťou je </w:t>
      </w:r>
      <w:r w:rsidRPr="003041FF">
        <w:t xml:space="preserve">komplex technológií, služieb a stavebných prác, ktorých výsledkom bude vybudovanie (i) </w:t>
      </w:r>
      <w:r w:rsidR="00CC454D">
        <w:t>t</w:t>
      </w:r>
      <w:r>
        <w:t xml:space="preserve">echnologického </w:t>
      </w:r>
      <w:r w:rsidRPr="003041FF">
        <w:t xml:space="preserve">zariadenia na výrobu LNG, (ii) vybudovanie </w:t>
      </w:r>
      <w:r>
        <w:t xml:space="preserve">troch </w:t>
      </w:r>
      <w:r w:rsidRPr="003041FF">
        <w:t>čerpacích staníc LNG</w:t>
      </w:r>
      <w:r w:rsidRPr="00A74C5C">
        <w:t xml:space="preserve"> za účelom vytvorenia základnej infraštruktúry na využívanie ekologického paliva LNG v nákladnej doprave</w:t>
      </w:r>
      <w:r>
        <w:t>, (iii), vybudovanie štrnástich čerpacích staníc</w:t>
      </w:r>
      <w:r w:rsidRPr="003041FF">
        <w:t xml:space="preserve"> L2CNG za účelom vytvorenia základnej infraštruktúry na využívanie ekologického paliva CNG pozdĺž hlavných koridorov TEN-T siete, (i</w:t>
      </w:r>
      <w:r>
        <w:t>v</w:t>
      </w:r>
      <w:r w:rsidRPr="003041FF">
        <w:t xml:space="preserve">) zabezpečenie distribúcie paliva </w:t>
      </w:r>
      <w:r>
        <w:t>prostredníctvom cisternových návesov na prepravu LN</w:t>
      </w:r>
      <w:r w:rsidR="003777EF">
        <w:t>G</w:t>
      </w:r>
      <w:r>
        <w:t xml:space="preserve"> </w:t>
      </w:r>
      <w:r w:rsidRPr="003041FF">
        <w:t xml:space="preserve">a (v) </w:t>
      </w:r>
      <w:r>
        <w:t xml:space="preserve">následná </w:t>
      </w:r>
      <w:r w:rsidRPr="003041FF">
        <w:t>integrácia jednotlivých komponentov do jedného funkčného logisticko-obchodného celku prostredníctvom IT technológií</w:t>
      </w:r>
      <w:r w:rsidR="002C64A9">
        <w:t xml:space="preserve"> (ďalej aj ako „Projekt“)</w:t>
      </w:r>
      <w:r>
        <w:t>.</w:t>
      </w:r>
      <w:r w:rsidRPr="003041FF">
        <w:t xml:space="preserve"> </w:t>
      </w:r>
    </w:p>
    <w:p w14:paraId="104727BB" w14:textId="502302BA" w:rsidR="004D0D51" w:rsidRDefault="002C64A9" w:rsidP="002C64A9">
      <w:r w:rsidRPr="00A37746">
        <w:t xml:space="preserve">Projekt je realizovaný a z majoritnej časti financovaný na základe Dohody o grante č. INEA/CEF/TRAN/M2016/1359261 (ďalej len „Dohoda o grante“) v rámci programu Nástroj na prepájanie Európy (NPE) – Odvetvie dopravy. V rámci </w:t>
      </w:r>
      <w:r>
        <w:t>Projektu</w:t>
      </w:r>
      <w:r w:rsidRPr="00A37746">
        <w:t xml:space="preserve"> je nastavené 5 ročné monitorovacie obdobie</w:t>
      </w:r>
      <w:r w:rsidR="004D0D51">
        <w:t xml:space="preserve"> udržateľnosti Projektu</w:t>
      </w:r>
      <w:r w:rsidRPr="00A37746">
        <w:t>, v rámci ktorého sa bude skúmať dodržanie a stabilita parametrov</w:t>
      </w:r>
      <w:r w:rsidR="00A809A3">
        <w:t xml:space="preserve"> celého</w:t>
      </w:r>
      <w:r w:rsidRPr="00A37746">
        <w:t xml:space="preserve"> </w:t>
      </w:r>
      <w:r w:rsidR="004D0D51">
        <w:t>Projektu.</w:t>
      </w:r>
    </w:p>
    <w:p w14:paraId="61DBD722" w14:textId="78901BEF" w:rsidR="004D0D51" w:rsidRDefault="004D0D51" w:rsidP="002C64A9">
      <w:r>
        <w:t xml:space="preserve">V nadväznosti na požiadavku udržateľnosti </w:t>
      </w:r>
      <w:r w:rsidR="00A809A3">
        <w:t>celého P</w:t>
      </w:r>
      <w:r>
        <w:t>rojektu bolo v súťažných podmienkach a opise Predmetu zákazky stanovené obdobie piatich rokov, počas ktorého musí byť Predmet zákazky plne funkčný</w:t>
      </w:r>
      <w:r w:rsidR="0024597A">
        <w:t>, a musí spĺňať parametre stanovené opisom predmetu zákazky a ponukou uchádzača.</w:t>
      </w:r>
    </w:p>
    <w:p w14:paraId="5A8EC3E8" w14:textId="1C498453" w:rsidR="0074260E" w:rsidRDefault="002C64A9" w:rsidP="002C64A9">
      <w:r w:rsidRPr="00A37746">
        <w:t xml:space="preserve">Z tohto dôvodu je </w:t>
      </w:r>
      <w:r w:rsidR="0024597A">
        <w:t>v obchodných podmienkach zmluvy</w:t>
      </w:r>
      <w:r w:rsidRPr="00A37746">
        <w:t xml:space="preserve"> požadovaná záručná doba </w:t>
      </w:r>
      <w:r w:rsidR="0024597A">
        <w:t>kompletných zariadení</w:t>
      </w:r>
      <w:r w:rsidRPr="00A37746">
        <w:t xml:space="preserve"> predĺžená na 5 rokov</w:t>
      </w:r>
      <w:r w:rsidR="00EC2F9E">
        <w:t xml:space="preserve"> súhlasne s obdobím udržateľnosti Projektu</w:t>
      </w:r>
      <w:r w:rsidRPr="00A37746">
        <w:t xml:space="preserve">. S predĺženou zárukou je tak zároveň spojený aj výkon servisných činností v rámci záruky, ktorých vykonávanie je nevyhnutné pre udržanie záruky zo strany uchádzačov. Obdobie 5 rokov záruky a s ňou súvisiacich servisných činností je dané pre všetky technologické súčasti Projektu, nakoľko spoločne spadajú pod jeden ucelený Projekt, ktorého účelom je zavedenie pilotnej prevádzky komplexnej inovatívnej infraštruktúry čerpacích staníc LNG a L2CNG. </w:t>
      </w:r>
      <w:r w:rsidR="0074260E">
        <w:t xml:space="preserve">Z dôvodu udržateľnosti záruky za dodané technológie počas obdobia piatich rokov je súčasťou predmetu zákazky aj výkon servisných činností </w:t>
      </w:r>
      <w:r w:rsidR="007C26B7">
        <w:t xml:space="preserve">v rámci záruky </w:t>
      </w:r>
      <w:r w:rsidR="00BF53F4">
        <w:t>počas obdobia piatich rokov</w:t>
      </w:r>
      <w:r w:rsidR="007C26B7">
        <w:t xml:space="preserve"> spojený so všetkými povinnými revíznymi činnosťami a povinnými prehliadkami a kontrolami v zmysle príslušných právnych predpisov</w:t>
      </w:r>
      <w:r w:rsidR="00EC2F9E">
        <w:t xml:space="preserve"> a odporúčaní výrobcov</w:t>
      </w:r>
      <w:r w:rsidR="007C26B7">
        <w:t>.</w:t>
      </w:r>
    </w:p>
    <w:p w14:paraId="69E97C45" w14:textId="5DF100C2" w:rsidR="007C26B7" w:rsidRPr="00A147CB" w:rsidRDefault="007C26B7" w:rsidP="002C64A9">
      <w:r>
        <w:t xml:space="preserve">Oddelenie záručného servisu </w:t>
      </w:r>
      <w:r w:rsidR="00170F5E">
        <w:t xml:space="preserve">(a s tým súvisiacich odborných revízií a kontrol v zmysle právnych predpisov a odporúčaní výrobcov) </w:t>
      </w:r>
      <w:r>
        <w:t xml:space="preserve">od dodania samotných technológií je </w:t>
      </w:r>
      <w:r w:rsidR="00170F5E">
        <w:t>tak prakticky nemožné, pretože by nebolo spravodlivé žiadať udržanie záruky z</w:t>
      </w:r>
      <w:r w:rsidR="001D7C47">
        <w:t>a</w:t>
      </w:r>
      <w:r w:rsidR="00170F5E">
        <w:t xml:space="preserve"> akosť </w:t>
      </w:r>
      <w:r w:rsidR="001D7C47">
        <w:t>technológií</w:t>
      </w:r>
      <w:r w:rsidR="00170F5E">
        <w:t xml:space="preserve"> v prípade, ak by servisné činnosti vykonával iný subjekt, ako úspešný uchádzač. </w:t>
      </w:r>
      <w:r w:rsidR="00DB2F49">
        <w:t>R</w:t>
      </w:r>
      <w:r w:rsidR="00170F5E">
        <w:t xml:space="preserve">ozdelenie </w:t>
      </w:r>
      <w:r w:rsidR="00DB2F49">
        <w:t xml:space="preserve">zákazky </w:t>
      </w:r>
      <w:r w:rsidR="00170F5E">
        <w:t xml:space="preserve">v tejto časti preto </w:t>
      </w:r>
      <w:r w:rsidR="00DB2F49">
        <w:t xml:space="preserve">z dôvodu praktickej nedeliteľnosti </w:t>
      </w:r>
      <w:r w:rsidR="00DB2F49" w:rsidRPr="00A147CB">
        <w:t>plnení nie je možné a</w:t>
      </w:r>
      <w:r w:rsidR="00E465D0" w:rsidRPr="00A147CB">
        <w:t> účelné.</w:t>
      </w:r>
    </w:p>
    <w:p w14:paraId="648B44AD" w14:textId="126DF416" w:rsidR="00671F82" w:rsidRPr="00A147CB" w:rsidRDefault="00671F82" w:rsidP="00671F82">
      <w:r w:rsidRPr="00A147CB">
        <w:t>Dodanie štrnástich kusov technológií L2CNG staníc je predmetom jednej zákazky najmä z dôvodu, že akékoľvek ďalšie rozdelenie dodávky na jednotlivé technológie L</w:t>
      </w:r>
      <w:r w:rsidR="00456686" w:rsidRPr="00A147CB">
        <w:t>2C</w:t>
      </w:r>
      <w:r w:rsidRPr="00A147CB">
        <w:t>NG staníc by spôsobovalo technické aj praktické problémy pri realizácií zákazky ako aj pri poskytovaní servisu. Zároveň by takéto rozdelenie predstavovalo zvýšené náklady a to najmä s ohľadom na skutočnosť zdieľania nákladov tak pri samotnej dodávke zariadení ako najmä pri vykonávaní servisných činností.</w:t>
      </w:r>
    </w:p>
    <w:p w14:paraId="6F92E093" w14:textId="77777777" w:rsidR="00A147CB" w:rsidRPr="00A147CB" w:rsidRDefault="00671F82" w:rsidP="00671F82">
      <w:r w:rsidRPr="00A147CB">
        <w:t>Nakoľko sa jedná o dodanie identických technológií (</w:t>
      </w:r>
      <w:r w:rsidR="00456686" w:rsidRPr="00A147CB">
        <w:t>14</w:t>
      </w:r>
      <w:r w:rsidRPr="00A147CB">
        <w:t xml:space="preserve">ks identickej technológie) </w:t>
      </w:r>
      <w:r w:rsidR="006548E3" w:rsidRPr="00A147CB">
        <w:t xml:space="preserve">bolo by potrebné navrhovať </w:t>
      </w:r>
      <w:r w:rsidR="009550C1" w:rsidRPr="00A147CB">
        <w:t>potenciálne až 14</w:t>
      </w:r>
      <w:r w:rsidR="006548E3" w:rsidRPr="00A147CB">
        <w:t xml:space="preserve"> samostatn</w:t>
      </w:r>
      <w:r w:rsidR="009550C1" w:rsidRPr="00A147CB">
        <w:t>ých</w:t>
      </w:r>
      <w:r w:rsidR="006548E3" w:rsidRPr="00A147CB">
        <w:t xml:space="preserve"> technick</w:t>
      </w:r>
      <w:r w:rsidR="009550C1" w:rsidRPr="00A147CB">
        <w:t>ých</w:t>
      </w:r>
      <w:r w:rsidR="006548E3" w:rsidRPr="00A147CB">
        <w:t xml:space="preserve"> riešen</w:t>
      </w:r>
      <w:r w:rsidR="009550C1" w:rsidRPr="00A147CB">
        <w:t>í</w:t>
      </w:r>
      <w:r w:rsidR="006548E3" w:rsidRPr="00A147CB">
        <w:t xml:space="preserve"> namiesto jedného a  </w:t>
      </w:r>
      <w:r w:rsidRPr="00A147CB">
        <w:t xml:space="preserve">bolo by potrebné koordinovať ešte väčšie množstvo dodávateľov, ako je tomu v tomto prípade. Už tak bude potrebné koordinovať dodávateľov s dodávateľmi projektových dokumentácií na stavebné časti čerpacích staníc a ďalej so samotnými zhotoviteľmi stavieb. Administrácia </w:t>
      </w:r>
      <w:r w:rsidR="009550C1" w:rsidRPr="00A147CB">
        <w:t>štrnástich</w:t>
      </w:r>
      <w:r w:rsidRPr="00A147CB">
        <w:t xml:space="preserve"> samostatných kontraktov, najmä pri </w:t>
      </w:r>
      <w:r w:rsidRPr="00A147CB">
        <w:lastRenderedPageBreak/>
        <w:t xml:space="preserve">rôznych dodávateľoch by mohla ohroziť realizáciu celého projektu najmä z hľadiska zodpovednosti za dodávku. Ani z praktickej stránky nie je vhodné, aby boli v rámci celého projektu </w:t>
      </w:r>
      <w:proofErr w:type="spellStart"/>
      <w:r w:rsidRPr="00A147CB">
        <w:t>fueLCNG</w:t>
      </w:r>
      <w:proofErr w:type="spellEnd"/>
      <w:r w:rsidRPr="00A147CB">
        <w:t xml:space="preserve"> inštalované na každom odpočívadle odlišné zariadenia. Variabilita zariadení by výrazne sťažila obsluhu zariadení, ktorá by sa všade líšila. Takáto variabilita by sťažila tiež najmä výkon servisných činností. Vo vzťahu k servisným činnostiam by sa tiež zvýšila ekonomická náročnosť, nakoľko v prípade jedného dodávateľa servisu je možné dospieť k zdieľaniu nákladov na servis viacerých staníc oproti koordinácii samostatných servisných spoločností. </w:t>
      </w:r>
    </w:p>
    <w:p w14:paraId="08156600" w14:textId="6A62E909" w:rsidR="002D2ECA" w:rsidRDefault="00E465D0" w:rsidP="00671F82">
      <w:r w:rsidRPr="00A147CB">
        <w:t>Vo vzťahu k ostatným plneniam, ktoré sú súčasťou dodania predmetu zákazky, najmä tak návrh riešenia cel</w:t>
      </w:r>
      <w:r w:rsidR="00CD39DA" w:rsidRPr="00A147CB">
        <w:t>ej</w:t>
      </w:r>
      <w:r w:rsidRPr="00A147CB">
        <w:t xml:space="preserve"> technol</w:t>
      </w:r>
      <w:r w:rsidR="002674B0" w:rsidRPr="00A147CB">
        <w:t>ógi</w:t>
      </w:r>
      <w:r w:rsidR="00CD39DA" w:rsidRPr="00A147CB">
        <w:t>e, dodanie dokumentácie vzťahujúcej sa k technológii, inštalácia technológie a ostatné prvky v zmysle opisu</w:t>
      </w:r>
      <w:r w:rsidR="00CD39DA">
        <w:t xml:space="preserve"> predmetu zákazky, sú všetko prvky, bez ktorých nie je možné predmet zákazky ani dodať a preto sú imanentne spojené s dodávkou technológie a nie je možné ich </w:t>
      </w:r>
      <w:r w:rsidR="001D7C47">
        <w:t>oddeliť</w:t>
      </w:r>
      <w:r w:rsidR="00CD39DA">
        <w:t xml:space="preserve">. Akýmkoľvek hypotetickým rozdelením by došlo </w:t>
      </w:r>
      <w:r w:rsidR="00783433">
        <w:t xml:space="preserve">k naštrbeniu jednotnosti zodpovednosti za výsledok, čím by bola výrazne ohrozená úspešná realizácia celého Projektu. </w:t>
      </w:r>
    </w:p>
    <w:p w14:paraId="064F48FC" w14:textId="5E385D44" w:rsidR="00CC454D" w:rsidRPr="00A147CB" w:rsidRDefault="00783433" w:rsidP="00A147CB">
      <w:r>
        <w:t xml:space="preserve">Na úrovni samotného Predmetu zákazky teda nie je účelné žiadne hlbšie delenie zákazky, a to najmä </w:t>
      </w:r>
      <w:r w:rsidR="002674B0">
        <w:t xml:space="preserve"> </w:t>
      </w:r>
      <w:r w:rsidR="002D2ECA">
        <w:t>s ohľadom na</w:t>
      </w:r>
      <w:r w:rsidR="002D2ECA" w:rsidRPr="00A147CB">
        <w:t>:</w:t>
      </w:r>
    </w:p>
    <w:p w14:paraId="0AA0001B" w14:textId="3B665708" w:rsidR="002D2ECA" w:rsidRPr="00A147CB" w:rsidRDefault="00081708" w:rsidP="00A147CB">
      <w:pPr>
        <w:pStyle w:val="ListParagraph"/>
        <w:numPr>
          <w:ilvl w:val="0"/>
          <w:numId w:val="3"/>
        </w:numPr>
        <w:contextualSpacing w:val="0"/>
      </w:pPr>
      <w:r w:rsidRPr="00A147CB">
        <w:t>u</w:t>
      </w:r>
      <w:r w:rsidR="002D2ECA" w:rsidRPr="00A147CB">
        <w:t>držanie záruky za výsledok – t. j. nie len dodanie samotného diela ale aj udržanie záručnej doby počas piatich rokov;</w:t>
      </w:r>
    </w:p>
    <w:p w14:paraId="4C9EFA4A" w14:textId="77777777" w:rsidR="00A147CB" w:rsidRPr="00A147CB" w:rsidRDefault="00081708" w:rsidP="00A147CB">
      <w:pPr>
        <w:pStyle w:val="ListParagraph"/>
        <w:numPr>
          <w:ilvl w:val="0"/>
          <w:numId w:val="3"/>
        </w:numPr>
        <w:contextualSpacing w:val="0"/>
      </w:pPr>
      <w:r w:rsidRPr="00A147CB">
        <w:t>t</w:t>
      </w:r>
      <w:r w:rsidR="002D2ECA" w:rsidRPr="00A147CB">
        <w:t xml:space="preserve">echnickú, ale najmä praktickú </w:t>
      </w:r>
      <w:r w:rsidR="005277EC" w:rsidRPr="00A147CB">
        <w:t>(koordinačnú)</w:t>
      </w:r>
      <w:r w:rsidR="0014550D" w:rsidRPr="00A147CB">
        <w:t xml:space="preserve"> </w:t>
      </w:r>
      <w:r w:rsidR="002D2ECA" w:rsidRPr="00A147CB">
        <w:t>náročnosť</w:t>
      </w:r>
      <w:r w:rsidRPr="00A147CB">
        <w:t>,</w:t>
      </w:r>
      <w:r w:rsidR="009B7FD8" w:rsidRPr="00A147CB">
        <w:t xml:space="preserve"> resp. až nemožnosť rozdeliť predmet dodania na menšie fragmenty</w:t>
      </w:r>
      <w:r w:rsidRPr="00A147CB">
        <w:t xml:space="preserve"> z dôvodu existencie vážneho rizika</w:t>
      </w:r>
      <w:r w:rsidR="009B7FD8" w:rsidRPr="00A147CB">
        <w:t xml:space="preserve"> ohrozenia realizácie predmetu zákazky a celého Projektu</w:t>
      </w:r>
      <w:r w:rsidR="00A147CB" w:rsidRPr="00A147CB">
        <w:t>; a</w:t>
      </w:r>
    </w:p>
    <w:p w14:paraId="28FCFE97" w14:textId="2F1BF71A" w:rsidR="002D2ECA" w:rsidRPr="00A147CB" w:rsidRDefault="00A147CB" w:rsidP="00A147CB">
      <w:pPr>
        <w:pStyle w:val="ListParagraph"/>
        <w:numPr>
          <w:ilvl w:val="0"/>
          <w:numId w:val="3"/>
        </w:numPr>
        <w:contextualSpacing w:val="0"/>
      </w:pPr>
      <w:r w:rsidRPr="00A147CB">
        <w:t xml:space="preserve">ekonomickej a praktickej výhodnosti vlastniť unifikované zariadenia z pohľadu nárokov na ich obsluhu a servis. </w:t>
      </w:r>
    </w:p>
    <w:p w14:paraId="14094AC2" w14:textId="30F90D74" w:rsidR="00A319D7" w:rsidRDefault="005277EC" w:rsidP="003777EF">
      <w:r w:rsidRPr="00A147CB">
        <w:t xml:space="preserve">V nadväznosti na vyššie uvedené si dovoľujeme uviesť, že práve naopak Verejný obstarávateľ pristúpil k rozdeleniu hypoteticky spojiteľnej zákazky na komplexné dodanie Projektu (resp. iných spojiteľných častí Projektu) na samostatne </w:t>
      </w:r>
      <w:proofErr w:type="spellStart"/>
      <w:r w:rsidRPr="00A147CB">
        <w:t>dodateľné</w:t>
      </w:r>
      <w:proofErr w:type="spellEnd"/>
      <w:r w:rsidRPr="00A147CB">
        <w:t xml:space="preserve"> celky. </w:t>
      </w:r>
      <w:r w:rsidR="003777EF" w:rsidRPr="00A147CB">
        <w:t>Ako je uvedené vyššie, celý Projekt sa skladá zo súboru technologických dodávok, projektových prác a stavebných prác, ktorých výsledkom bude komplexná implementácia projektu</w:t>
      </w:r>
      <w:r w:rsidR="003777EF">
        <w:t xml:space="preserve"> pozostávajúca z (i) </w:t>
      </w:r>
      <w:r w:rsidR="003777EF" w:rsidRPr="003041FF">
        <w:t>vybudovani</w:t>
      </w:r>
      <w:r w:rsidR="003777EF">
        <w:t>a</w:t>
      </w:r>
      <w:r w:rsidR="003777EF" w:rsidRPr="003041FF">
        <w:t xml:space="preserve"> </w:t>
      </w:r>
      <w:r w:rsidR="003777EF">
        <w:t xml:space="preserve">technologického </w:t>
      </w:r>
      <w:r w:rsidR="003777EF" w:rsidRPr="003041FF">
        <w:t>zariadenia na výrobu LNG, (ii) vybudovani</w:t>
      </w:r>
      <w:r w:rsidR="00BD5833">
        <w:t>a</w:t>
      </w:r>
      <w:r w:rsidR="003777EF" w:rsidRPr="003041FF">
        <w:t xml:space="preserve"> </w:t>
      </w:r>
      <w:r w:rsidR="003777EF">
        <w:t xml:space="preserve">troch </w:t>
      </w:r>
      <w:r w:rsidR="003777EF" w:rsidRPr="003041FF">
        <w:t>čerpacích staníc LNG</w:t>
      </w:r>
      <w:r w:rsidR="003777EF" w:rsidRPr="00A74C5C">
        <w:t xml:space="preserve"> za účelom vytvorenia základnej infraštruktúry na využívanie ekologického paliva LNG v nákladnej doprave</w:t>
      </w:r>
      <w:r w:rsidR="003777EF">
        <w:t>, (iii), vybudovani</w:t>
      </w:r>
      <w:r w:rsidR="00BD5833">
        <w:t>a</w:t>
      </w:r>
      <w:r w:rsidR="003777EF">
        <w:t xml:space="preserve"> štrnástich čerpacích staníc</w:t>
      </w:r>
      <w:r w:rsidR="003777EF" w:rsidRPr="003041FF">
        <w:t xml:space="preserve"> L2CNG za účelom vytvorenia základnej infraštruktúry na využívanie ekologického paliva CNG pozdĺž hlavných koridorov TEN-T siete, (i</w:t>
      </w:r>
      <w:r w:rsidR="003777EF">
        <w:t>v</w:t>
      </w:r>
      <w:r w:rsidR="003777EF" w:rsidRPr="003041FF">
        <w:t>) zabezpečeni</w:t>
      </w:r>
      <w:r w:rsidR="00BD5833">
        <w:t>a</w:t>
      </w:r>
      <w:r w:rsidR="003777EF" w:rsidRPr="003041FF">
        <w:t xml:space="preserve"> distribúcie paliva </w:t>
      </w:r>
      <w:r w:rsidR="003777EF">
        <w:t xml:space="preserve">prostredníctvom cisternových návesov na prepravu LNG </w:t>
      </w:r>
      <w:r w:rsidR="003777EF" w:rsidRPr="003041FF">
        <w:t xml:space="preserve">a (v) </w:t>
      </w:r>
      <w:r w:rsidR="003777EF">
        <w:t>následn</w:t>
      </w:r>
      <w:r w:rsidR="00BD5833">
        <w:t>ej</w:t>
      </w:r>
      <w:r w:rsidR="003777EF">
        <w:t xml:space="preserve"> </w:t>
      </w:r>
      <w:r w:rsidR="003777EF" w:rsidRPr="003041FF">
        <w:t>integráci</w:t>
      </w:r>
      <w:r w:rsidR="00BD5833">
        <w:t>e</w:t>
      </w:r>
      <w:r w:rsidR="003777EF" w:rsidRPr="003041FF">
        <w:t xml:space="preserve"> jednotlivých komponentov do jedného funkčného logisticko-obchodného celku prostredníctvom IT technológií</w:t>
      </w:r>
      <w:r w:rsidR="00BD5833">
        <w:t>.</w:t>
      </w:r>
    </w:p>
    <w:p w14:paraId="0A76AC51" w14:textId="77777777" w:rsidR="005C60A7" w:rsidRDefault="00BD5833" w:rsidP="00BD5833">
      <w:r>
        <w:t xml:space="preserve">Verejný obstarávateľ tak rozdelil realizáciu Projektu jednak po jednotlivých technológiách, ako sú uvedené vyššie, ale samostatne má v pláne ďalej rozdeliť realizáciu Projektu </w:t>
      </w:r>
      <w:r w:rsidR="006A08E9">
        <w:t xml:space="preserve">na zadanie samostatných zákaziek na dodanie projektových dokumentácií k stavbám, v ktorých budú dané technológie osadené, </w:t>
      </w:r>
      <w:r w:rsidR="00C11FFB">
        <w:t>ďalej</w:t>
      </w:r>
      <w:r w:rsidR="006A08E9">
        <w:t> tiež samostatných zákaziek na dodanie samotných stavieb</w:t>
      </w:r>
      <w:r w:rsidR="00C11FFB">
        <w:t xml:space="preserve"> a na záver na samostatnú zákazku na dodanie integračného nadstavbového IT systému spájajúceho všetky technologické prvky pod jeden ucelený </w:t>
      </w:r>
      <w:r w:rsidR="005C60A7">
        <w:t>funkčný logisticko-obchodný celok</w:t>
      </w:r>
      <w:r w:rsidR="006A08E9">
        <w:t xml:space="preserve">. </w:t>
      </w:r>
    </w:p>
    <w:p w14:paraId="674B2494" w14:textId="58492E00" w:rsidR="00BD5833" w:rsidRPr="00F472D6" w:rsidRDefault="006A08E9" w:rsidP="00BD5833">
      <w:r w:rsidRPr="00E84FC3">
        <w:rPr>
          <w:b/>
        </w:rPr>
        <w:t xml:space="preserve">Rozdelenie zákaziek v rámci Projektu je teda práve </w:t>
      </w:r>
      <w:r w:rsidR="00E84FC3" w:rsidRPr="00E84FC3">
        <w:rPr>
          <w:b/>
        </w:rPr>
        <w:t>nastavené</w:t>
      </w:r>
      <w:r w:rsidRPr="00E84FC3">
        <w:rPr>
          <w:b/>
        </w:rPr>
        <w:t xml:space="preserve"> tak, aby bola zabezpečená možná účasť aj malých a stredných podnikov</w:t>
      </w:r>
      <w:r w:rsidR="00E84FC3" w:rsidRPr="00E84FC3">
        <w:rPr>
          <w:b/>
        </w:rPr>
        <w:t>, a to práve s prihliadnutím na ich špecializáciu v rámci jednotlivých odvetví (technológie, projekty, stavby, IT systém), ktoré celý Projekt zahŕňa.</w:t>
      </w:r>
    </w:p>
    <w:p w14:paraId="7A804230" w14:textId="6C615A9C" w:rsidR="00A319D7" w:rsidRPr="00A37746" w:rsidRDefault="00A319D7" w:rsidP="00A319D7"/>
    <w:sectPr w:rsidR="00A319D7" w:rsidRPr="00A377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7775C" w14:textId="77777777" w:rsidR="0039737E" w:rsidRDefault="0039737E" w:rsidP="0039737E">
      <w:pPr>
        <w:spacing w:after="0" w:line="240" w:lineRule="auto"/>
      </w:pPr>
      <w:r>
        <w:separator/>
      </w:r>
    </w:p>
  </w:endnote>
  <w:endnote w:type="continuationSeparator" w:id="0">
    <w:p w14:paraId="3A9E5AA7" w14:textId="77777777" w:rsidR="0039737E" w:rsidRDefault="0039737E" w:rsidP="0039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3915C" w14:textId="77777777" w:rsidR="0039737E" w:rsidRDefault="0039737E" w:rsidP="0039737E">
      <w:pPr>
        <w:spacing w:after="0" w:line="240" w:lineRule="auto"/>
      </w:pPr>
      <w:r>
        <w:separator/>
      </w:r>
    </w:p>
  </w:footnote>
  <w:footnote w:type="continuationSeparator" w:id="0">
    <w:p w14:paraId="5239C6E6" w14:textId="77777777" w:rsidR="0039737E" w:rsidRDefault="0039737E" w:rsidP="0039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4E84B" w14:textId="7DE1D54B" w:rsidR="0039737E" w:rsidRPr="0039737E" w:rsidRDefault="0039737E" w:rsidP="0039737E">
    <w:pPr>
      <w:pStyle w:val="Header"/>
      <w:rPr>
        <w:rFonts w:eastAsiaTheme="majorEastAsia" w:cstheme="majorBidi"/>
        <w:b/>
        <w:noProof/>
        <w:color w:val="000000" w:themeColor="text1"/>
        <w:spacing w:val="30"/>
      </w:rPr>
    </w:pPr>
    <w:bookmarkStart w:id="1" w:name="_Toc517419720"/>
    <w:bookmarkStart w:id="2" w:name="_Toc514419050"/>
    <w:r w:rsidRPr="0039737E">
      <w:rPr>
        <w:rFonts w:eastAsiaTheme="majorEastAsia" w:cstheme="majorBidi"/>
        <w:b/>
        <w:noProof/>
        <w:color w:val="000000" w:themeColor="text1"/>
        <w:spacing w:val="30"/>
      </w:rPr>
      <w:t>Príloha A.</w:t>
    </w:r>
    <w:r>
      <w:rPr>
        <w:rFonts w:eastAsiaTheme="majorEastAsia" w:cstheme="majorBidi"/>
        <w:b/>
        <w:noProof/>
        <w:color w:val="000000" w:themeColor="text1"/>
        <w:spacing w:val="30"/>
      </w:rPr>
      <w:t>10</w:t>
    </w:r>
    <w:r w:rsidRPr="0039737E">
      <w:rPr>
        <w:rFonts w:eastAsiaTheme="majorEastAsia" w:cstheme="majorBidi"/>
        <w:b/>
        <w:noProof/>
        <w:color w:val="000000" w:themeColor="text1"/>
        <w:spacing w:val="30"/>
      </w:rPr>
      <w:t xml:space="preserve"> Súťažných podkladov:</w:t>
    </w:r>
  </w:p>
  <w:bookmarkEnd w:id="1"/>
  <w:bookmarkEnd w:id="2"/>
  <w:p w14:paraId="46904FF3" w14:textId="23C3F02D" w:rsidR="0039737E" w:rsidRDefault="0039737E" w:rsidP="0039737E">
    <w:pPr>
      <w:pStyle w:val="Header"/>
      <w:rPr>
        <w:rFonts w:ascii="Times New Roman" w:hAnsi="Times New Roman"/>
        <w:szCs w:val="20"/>
      </w:rPr>
    </w:pPr>
    <w:r>
      <w:rPr>
        <w:rFonts w:eastAsiaTheme="majorEastAsia" w:cstheme="majorBidi"/>
        <w:b/>
        <w:noProof/>
        <w:color w:val="000000" w:themeColor="text1"/>
        <w:spacing w:val="30"/>
      </w:rPr>
      <w:t>Odôvodnenie nero</w:t>
    </w:r>
    <w:r w:rsidR="00B34A94">
      <w:rPr>
        <w:rFonts w:eastAsiaTheme="majorEastAsia" w:cstheme="majorBidi"/>
        <w:b/>
        <w:noProof/>
        <w:color w:val="000000" w:themeColor="text1"/>
        <w:spacing w:val="30"/>
      </w:rPr>
      <w:t xml:space="preserve">zdelenia zákazky </w:t>
    </w:r>
  </w:p>
  <w:p w14:paraId="7CA85233" w14:textId="77777777" w:rsidR="0039737E" w:rsidRDefault="00397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3CFD"/>
    <w:multiLevelType w:val="multilevel"/>
    <w:tmpl w:val="841CAF8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335F7CE6"/>
    <w:multiLevelType w:val="hybridMultilevel"/>
    <w:tmpl w:val="6FFE075A"/>
    <w:lvl w:ilvl="0" w:tplc="9FD09E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2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CA"/>
    <w:rsid w:val="00081708"/>
    <w:rsid w:val="0014550D"/>
    <w:rsid w:val="00170F5E"/>
    <w:rsid w:val="001A15A5"/>
    <w:rsid w:val="001D7C47"/>
    <w:rsid w:val="002140CA"/>
    <w:rsid w:val="0024597A"/>
    <w:rsid w:val="002674B0"/>
    <w:rsid w:val="002C64A9"/>
    <w:rsid w:val="002D2ECA"/>
    <w:rsid w:val="003777EF"/>
    <w:rsid w:val="0039737E"/>
    <w:rsid w:val="00456686"/>
    <w:rsid w:val="004D0D51"/>
    <w:rsid w:val="005277EC"/>
    <w:rsid w:val="005C60A7"/>
    <w:rsid w:val="006548E3"/>
    <w:rsid w:val="00671F82"/>
    <w:rsid w:val="006A08E9"/>
    <w:rsid w:val="00707DF8"/>
    <w:rsid w:val="0074260E"/>
    <w:rsid w:val="00783433"/>
    <w:rsid w:val="007C26B7"/>
    <w:rsid w:val="007F33E0"/>
    <w:rsid w:val="008570D5"/>
    <w:rsid w:val="008F7574"/>
    <w:rsid w:val="009550C1"/>
    <w:rsid w:val="009B7FD8"/>
    <w:rsid w:val="00A147CB"/>
    <w:rsid w:val="00A319D7"/>
    <w:rsid w:val="00A809A3"/>
    <w:rsid w:val="00B34A94"/>
    <w:rsid w:val="00B4357F"/>
    <w:rsid w:val="00BD5833"/>
    <w:rsid w:val="00BF53F4"/>
    <w:rsid w:val="00C11FFB"/>
    <w:rsid w:val="00CC454D"/>
    <w:rsid w:val="00CD39DA"/>
    <w:rsid w:val="00DB2F49"/>
    <w:rsid w:val="00E465D0"/>
    <w:rsid w:val="00E84FC3"/>
    <w:rsid w:val="00EC2F9E"/>
    <w:rsid w:val="00F4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14E2"/>
  <w15:chartTrackingRefBased/>
  <w15:docId w15:val="{D1E442F3-4874-423D-9230-A08F92B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D7"/>
    <w:pPr>
      <w:spacing w:after="120"/>
      <w:jc w:val="both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319D7"/>
    <w:pPr>
      <w:widowControl w:val="0"/>
      <w:numPr>
        <w:numId w:val="1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319D7"/>
    <w:pPr>
      <w:widowControl w:val="0"/>
      <w:numPr>
        <w:numId w:val="1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A319D7"/>
    <w:pPr>
      <w:widowControl w:val="0"/>
      <w:numPr>
        <w:ilvl w:val="2"/>
        <w:numId w:val="1"/>
      </w:numPr>
      <w:spacing w:before="240" w:after="240"/>
      <w:outlineLvl w:val="2"/>
    </w:pPr>
    <w:rPr>
      <w:rFonts w:ascii="Cambria" w:eastAsiaTheme="minorHAnsi" w:hAnsi="Cambria"/>
      <w:b/>
      <w:caps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A319D7"/>
    <w:pPr>
      <w:widowControl w:val="0"/>
      <w:numPr>
        <w:ilvl w:val="3"/>
        <w:numId w:val="1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319D7"/>
    <w:pPr>
      <w:widowControl w:val="0"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iPriority w:val="9"/>
    <w:unhideWhenUsed/>
    <w:qFormat/>
    <w:rsid w:val="00A319D7"/>
    <w:pPr>
      <w:widowControl w:val="0"/>
      <w:numPr>
        <w:ilvl w:val="5"/>
        <w:numId w:val="1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319D7"/>
    <w:pPr>
      <w:widowControl w:val="0"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9D7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19D7"/>
    <w:rPr>
      <w:rFonts w:ascii="Cambria" w:hAnsi="Cambria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19D7"/>
    <w:rPr>
      <w:rFonts w:ascii="Cambria" w:hAnsi="Cambria"/>
      <w:b/>
      <w:caps/>
      <w:color w:val="00899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319D7"/>
    <w:rPr>
      <w:rFonts w:ascii="Cambria" w:hAnsi="Cambria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19D7"/>
    <w:rPr>
      <w:rFonts w:ascii="Cambria" w:eastAsiaTheme="majorEastAsia" w:hAnsi="Cambria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319D7"/>
    <w:rPr>
      <w:rFonts w:ascii="Cambria" w:eastAsiaTheme="majorEastAsia" w:hAnsi="Cambria" w:cstheme="majorBidi"/>
      <w:sz w:val="20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A319D7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A319D7"/>
    <w:pPr>
      <w:numPr>
        <w:numId w:val="4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A319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319D7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7E"/>
    <w:rPr>
      <w:rFonts w:ascii="Cambria" w:hAnsi="Cambria"/>
      <w:sz w:val="20"/>
    </w:rPr>
  </w:style>
  <w:style w:type="paragraph" w:styleId="Footer">
    <w:name w:val="footer"/>
    <w:basedOn w:val="Normal"/>
    <w:link w:val="Foot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7E"/>
    <w:rPr>
      <w:rFonts w:ascii="Cambria" w:hAnsi="Cambria"/>
      <w:sz w:val="20"/>
    </w:rPr>
  </w:style>
  <w:style w:type="paragraph" w:styleId="ListParagraph">
    <w:name w:val="List Paragraph"/>
    <w:basedOn w:val="Normal"/>
    <w:uiPriority w:val="34"/>
    <w:qFormat/>
    <w:rsid w:val="002D2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10</cp:revision>
  <dcterms:created xsi:type="dcterms:W3CDTF">2019-04-30T09:32:00Z</dcterms:created>
  <dcterms:modified xsi:type="dcterms:W3CDTF">2019-06-20T09:11:00Z</dcterms:modified>
</cp:coreProperties>
</file>