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6431A0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>Elektrospotrebiče, klimatizácia, kuchynská a biela technika_DNS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06CC6297" w:rsidR="002761BF" w:rsidRPr="00AD0D42" w:rsidRDefault="00564276" w:rsidP="00181AA6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181AA6">
        <w:rPr>
          <w:rFonts w:ascii="Arial Narrow" w:hAnsi="Arial Narrow" w:cs="Calibri"/>
          <w:sz w:val="22"/>
          <w:szCs w:val="22"/>
        </w:rPr>
        <w:t>„</w:t>
      </w:r>
      <w:r w:rsidR="00181AA6" w:rsidRPr="00181AA6">
        <w:rPr>
          <w:rFonts w:ascii="Arial Narrow" w:eastAsia="Arial" w:hAnsi="Arial Narrow" w:cstheme="majorHAnsi"/>
          <w:b/>
          <w:sz w:val="22"/>
          <w:szCs w:val="22"/>
        </w:rPr>
        <w:t>Klimatizácie ako súčasť nafukovacích stanov</w:t>
      </w:r>
      <w:r w:rsidR="00181AA6">
        <w:rPr>
          <w:rFonts w:ascii="Arial Narrow" w:eastAsia="Arial" w:hAnsi="Arial Narrow" w:cstheme="majorHAnsi"/>
          <w:b/>
          <w:sz w:val="22"/>
          <w:szCs w:val="22"/>
        </w:rPr>
        <w:t>“</w:t>
      </w:r>
      <w:r w:rsidR="00181AA6">
        <w:rPr>
          <w:rFonts w:ascii="Arial Narrow" w:eastAsia="Arial" w:hAnsi="Arial Narrow" w:cstheme="majorHAnsi"/>
          <w:sz w:val="22"/>
          <w:szCs w:val="22"/>
        </w:rPr>
        <w:t>,</w:t>
      </w:r>
      <w:r w:rsidR="00C43A2F" w:rsidRPr="00181AA6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C43A2F" w:rsidRPr="00181AA6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 </w:t>
      </w:r>
      <w:r w:rsidR="00F917C4" w:rsidRPr="00181AA6">
        <w:rPr>
          <w:rFonts w:ascii="Arial Narrow" w:hAnsi="Arial Narrow"/>
          <w:sz w:val="22"/>
          <w:szCs w:val="22"/>
          <w:shd w:val="clear" w:color="auto" w:fill="FFFFFF"/>
        </w:rPr>
        <w:t>(</w:t>
      </w:r>
      <w:r w:rsidR="00181AA6" w:rsidRPr="00181AA6">
        <w:rPr>
          <w:rFonts w:ascii="Arial Narrow" w:hAnsi="Arial Narrow"/>
          <w:sz w:val="22"/>
          <w:szCs w:val="22"/>
          <w:shd w:val="clear" w:color="auto" w:fill="FFFFFF"/>
        </w:rPr>
        <w:t>45233</w:t>
      </w:r>
      <w:r w:rsidR="00C43A2F" w:rsidRPr="00181AA6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  <w:r w:rsidR="00C43A2F" w:rsidRPr="00181AA6">
        <w:rPr>
          <w:rFonts w:ascii="Arial Narrow" w:hAnsi="Arial Narrow" w:cs="Calibri"/>
          <w:sz w:val="22"/>
          <w:szCs w:val="22"/>
        </w:rPr>
        <w:t>.</w:t>
      </w:r>
    </w:p>
    <w:p w14:paraId="4443553D" w14:textId="77777777" w:rsidR="003A1A0E" w:rsidRPr="00560622" w:rsidRDefault="003A1A0E" w:rsidP="00AD0D42">
      <w:pPr>
        <w:pStyle w:val="CTL"/>
        <w:numPr>
          <w:ilvl w:val="1"/>
          <w:numId w:val="5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Táto zmluva je výsledkom procesu verejného obstarávania postupom podľa zákona č. 343/2015 Z.z. Predmet zákazky je realizovaný a financovaný zo zdrojov štátneho rozpočtu. </w:t>
      </w:r>
    </w:p>
    <w:p w14:paraId="3C9FF8E4" w14:textId="39C350F9" w:rsidR="003A1A0E" w:rsidRPr="00AD0D42" w:rsidRDefault="003A1A0E" w:rsidP="00AD0D42">
      <w:pPr>
        <w:pStyle w:val="CTL"/>
        <w:numPr>
          <w:ilvl w:val="0"/>
          <w:numId w:val="0"/>
        </w:numPr>
        <w:spacing w:after="240" w:line="24" w:lineRule="atLeast"/>
        <w:rPr>
          <w:rFonts w:ascii="Arial Narrow" w:hAnsi="Arial Narrow"/>
          <w:sz w:val="22"/>
          <w:szCs w:val="22"/>
          <w:shd w:val="clear" w:color="auto" w:fill="FFFFFF"/>
        </w:rPr>
      </w:pPr>
      <w:bookmarkStart w:id="0" w:name="_GoBack"/>
      <w:bookmarkEnd w:id="0"/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0E72AFB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bielej techniky a elektrospotrebičov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03718B" w:rsidRPr="00FE0C79">
        <w:rPr>
          <w:rFonts w:ascii="Arial Narrow" w:hAnsi="Arial Narrow"/>
          <w:sz w:val="22"/>
        </w:rPr>
        <w:t xml:space="preserve">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1A49DE5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6E5342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8D274D2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1A395F">
        <w:rPr>
          <w:rFonts w:ascii="Arial Narrow" w:hAnsi="Arial Narrow"/>
          <w:sz w:val="22"/>
        </w:rPr>
        <w:t xml:space="preserve"> a inštaláciou zariadenia v zmysle prílohy č.1 tejto zmluvy. </w:t>
      </w:r>
    </w:p>
    <w:p w14:paraId="06B82263" w14:textId="4C590463" w:rsidR="00FC2417" w:rsidRPr="004D27AE" w:rsidRDefault="00FC2417" w:rsidP="006E534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4655C">
        <w:rPr>
          <w:rFonts w:ascii="Arial Narrow" w:hAnsi="Arial Narrow" w:cs="Calibri"/>
          <w:sz w:val="22"/>
          <w:szCs w:val="22"/>
        </w:rPr>
        <w:t>tridsať</w:t>
      </w:r>
      <w:r w:rsidR="00F4655C" w:rsidRPr="00F261DA">
        <w:rPr>
          <w:rFonts w:ascii="Arial Narrow" w:hAnsi="Arial Narrow" w:cs="Calibri"/>
          <w:sz w:val="22"/>
          <w:szCs w:val="22"/>
        </w:rPr>
        <w:t xml:space="preserve">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F4655C">
        <w:rPr>
          <w:rFonts w:ascii="Arial Narrow" w:hAnsi="Arial Narrow" w:cs="Calibri"/>
          <w:sz w:val="22"/>
          <w:szCs w:val="22"/>
        </w:rPr>
        <w:t>3</w:t>
      </w:r>
      <w:r w:rsidR="00181AA6">
        <w:rPr>
          <w:rFonts w:ascii="Arial Narrow" w:hAnsi="Arial Narrow" w:cs="Calibri"/>
          <w:sz w:val="22"/>
          <w:szCs w:val="22"/>
        </w:rPr>
        <w:t>0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nadobudnutia účinnosti zmluvy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lastRenderedPageBreak/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0F23EC4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43A2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D65688B" w:rsidR="00BB427D" w:rsidRDefault="00BB427D" w:rsidP="00220F2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77777777" w:rsidR="006665FE" w:rsidRPr="006665FE" w:rsidRDefault="006665FE" w:rsidP="006665FE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7F3AF38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5BFAC80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6231386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</w:t>
      </w:r>
      <w:r w:rsidRPr="000342FD">
        <w:rPr>
          <w:rFonts w:ascii="Arial Narrow" w:hAnsi="Arial Narrow"/>
          <w:sz w:val="22"/>
          <w:szCs w:val="22"/>
        </w:rPr>
        <w:lastRenderedPageBreak/>
        <w:t>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6DDC0EA1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80DFAA" w:rsidR="00FC2417" w:rsidRPr="00611391" w:rsidRDefault="00611391" w:rsidP="00C43A2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3E5F267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9A1D21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B35410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A6331B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7F1DBC7B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7ABD83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B35410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B35410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650D169" w14:textId="77777777" w:rsidR="00A60C88" w:rsidRPr="00A60C88" w:rsidRDefault="00A60C88" w:rsidP="00A60C88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Predávajúci/ subdodávateľ sa podrobí výkonu kontroly zo strany poverených zamestnancov kontrolného orgánu podľa príslušných všeobecne záväzných právnych predpisov SR a EU, pričom zamestnanci oprávnení na výkon kontroly sú napríklad: </w:t>
      </w:r>
    </w:p>
    <w:p w14:paraId="557E8229" w14:textId="36CE230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a) riadiaci orgán pre príslušný Operačný program a ním poverené osoby,</w:t>
      </w:r>
    </w:p>
    <w:p w14:paraId="715430A3" w14:textId="75DA6DD3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b) útvar následnej finančnej kontroly a ním poverené osoby,</w:t>
      </w:r>
    </w:p>
    <w:p w14:paraId="45DAE3F0" w14:textId="665C1BBC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73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c) Najvyšší kontrolný úrad SR, príslušná Správa finančnej kontroly, Certifikačný orgán a nimi poverené osoby,</w:t>
      </w:r>
    </w:p>
    <w:p w14:paraId="79673870" w14:textId="29871C60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d) orgán auditu, jeho spolupracujúce orgány a nimi poverené osoby,</w:t>
      </w:r>
    </w:p>
    <w:p w14:paraId="07ED211E" w14:textId="7777777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e) splnomocnení zástupcovia Európskej komisie, Európskeho úradu na boj proti podvodom a Európskeho dvora audítorov,</w:t>
      </w:r>
    </w:p>
    <w:p w14:paraId="5C897A58" w14:textId="58FE9316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f) osoby prizvané orgánmi uvedenými v písm. a) až e) v súlade s príslušnými právnymi predpismi SR a </w:t>
      </w:r>
    </w:p>
    <w:p w14:paraId="7A320E15" w14:textId="77777777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</w:p>
    <w:p w14:paraId="6940B14D" w14:textId="17758D02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09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EÚ.</w:t>
      </w:r>
      <w:r w:rsidR="00154CE5">
        <w:rPr>
          <w:rFonts w:ascii="Arial Narrow" w:hAnsi="Arial Narrow"/>
          <w:sz w:val="22"/>
        </w:rPr>
        <w:t xml:space="preserve"> </w:t>
      </w:r>
      <w:r w:rsidRPr="00A60C88">
        <w:rPr>
          <w:rFonts w:ascii="Arial Narrow" w:hAnsi="Arial Narrow"/>
          <w:sz w:val="22"/>
        </w:rPr>
        <w:t>Predávajúci/ subdodávateľ poskytne oprávneným osobám na výkon kontroly/auditu všetku potrebnú súčinnosť.</w:t>
      </w:r>
    </w:p>
    <w:p w14:paraId="68E28D7A" w14:textId="77777777" w:rsidR="00A60C88" w:rsidRPr="00357D06" w:rsidRDefault="00A60C88" w:rsidP="00A60C8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6DBE5F1D" w14:textId="75059912" w:rsidR="00357D06" w:rsidRPr="00C43A2F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04B9BE15" w14:textId="70DB1A8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0E4D80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564E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3849A2">
        <w:rPr>
          <w:rFonts w:ascii="Arial Narrow" w:hAnsi="Arial Narrow" w:cs="Calibri"/>
          <w:sz w:val="22"/>
          <w:szCs w:val="22"/>
          <w:lang w:val="sk-SK"/>
        </w:rPr>
        <w:t>1</w:t>
      </w:r>
      <w:r w:rsidRPr="004D27AE">
        <w:rPr>
          <w:rFonts w:ascii="Arial Narrow" w:hAnsi="Arial Narrow"/>
          <w:sz w:val="22"/>
          <w:lang w:val="sk-SK"/>
        </w:rPr>
        <w:t xml:space="preserve"> tejto zmluvy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8D1454A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9564EC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212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564E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303EE30E" w:rsidR="00DD6996" w:rsidRPr="00C43A2F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C43A2F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 tejto zmluvy, je Predávajúci povinný zaplatiť Kupujúcemu zmluvnú pokutu vo výške 30 000,-EUR.  </w:t>
      </w:r>
    </w:p>
    <w:p w14:paraId="457D8388" w14:textId="74E9C8A0" w:rsidR="00582DCF" w:rsidRDefault="006056F6" w:rsidP="00C43A2F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8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15C02354" w:rsidR="00613A8C" w:rsidRPr="00C43A2F" w:rsidRDefault="00C43A2F" w:rsidP="00C12025">
      <w:pPr>
        <w:pStyle w:val="CTL"/>
        <w:numPr>
          <w:ilvl w:val="1"/>
          <w:numId w:val="5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lastRenderedPageBreak/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7A08E0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6178374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0A73A5E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9564E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9564EC" w:rsidRPr="000856BA">
        <w:rPr>
          <w:rFonts w:ascii="Arial Narrow" w:hAnsi="Arial Narrow"/>
          <w:sz w:val="22"/>
          <w:szCs w:val="22"/>
        </w:rPr>
        <w:t>4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2F08CE" w:rsidRPr="000856BA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77777777" w:rsidR="00126465" w:rsidRPr="00832912" w:rsidRDefault="00126465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>Kupujúci mal tri a viac oprávnených reklamácií k podstatnej časti dodávky Tovaru,</w:t>
      </w:r>
    </w:p>
    <w:p w14:paraId="50095892" w14:textId="5201F2FD" w:rsidR="00126465" w:rsidRPr="00832912" w:rsidRDefault="00126465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nebol v čase uzavretia </w:t>
      </w:r>
      <w:r w:rsidR="00FE0C79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832912">
        <w:rPr>
          <w:rFonts w:ascii="Arial Narrow" w:hAnsi="Arial Narrow"/>
          <w:sz w:val="22"/>
          <w:szCs w:val="22"/>
        </w:rPr>
        <w:t xml:space="preserve"> </w:t>
      </w:r>
      <w:r w:rsidRPr="00832912">
        <w:rPr>
          <w:rFonts w:ascii="Arial Narrow" w:hAnsi="Arial Narrow"/>
          <w:sz w:val="22"/>
          <w:szCs w:val="22"/>
        </w:rPr>
        <w:t>zapísaný v registri partnerov verejného   sektora alebo ak bol vymazaný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Pr="00832912">
        <w:rPr>
          <w:rFonts w:ascii="Arial Narrow" w:hAnsi="Arial Narrow"/>
          <w:sz w:val="22"/>
          <w:szCs w:val="22"/>
        </w:rPr>
        <w:t>.</w:t>
      </w:r>
    </w:p>
    <w:p w14:paraId="122FCA5B" w14:textId="1E958BB0" w:rsidR="00FC2417" w:rsidRPr="00CE65A8" w:rsidRDefault="00880C7A" w:rsidP="00CE65A8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CE65A8">
        <w:rPr>
          <w:rFonts w:ascii="Arial Narrow" w:hAnsi="Arial Narrow" w:cs="Calibri"/>
          <w:sz w:val="22"/>
          <w:szCs w:val="22"/>
        </w:rPr>
        <w:t xml:space="preserve">            </w:t>
      </w:r>
    </w:p>
    <w:p w14:paraId="178C1F13" w14:textId="43BBBC3F" w:rsidR="00FC2417" w:rsidRPr="00DD6996" w:rsidRDefault="00FC2417" w:rsidP="00CE65A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43183FF" w14:textId="22EF92BC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917C4" w:rsidRPr="00F917C4">
        <w:rPr>
          <w:rFonts w:ascii="Arial Narrow" w:hAnsi="Arial Narrow"/>
          <w:highlight w:val="yellow"/>
        </w:rPr>
        <w:t>xxxxxxxxxxxx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3B00B10" w14:textId="0E0B76F8" w:rsidR="00FC2417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68DFB7F9" w14:textId="77777777" w:rsidR="00F917C4" w:rsidRPr="00C33AE6" w:rsidRDefault="00F917C4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r w:rsidR="00485F33" w:rsidRPr="00F917C4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r w:rsidR="00485F33" w:rsidRPr="00F917C4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F917C4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F917C4">
        <w:rPr>
          <w:rFonts w:ascii="Arial Narrow" w:hAnsi="Arial Narrow"/>
          <w:sz w:val="22"/>
          <w:highlight w:val="yellow"/>
        </w:rPr>
        <w:t>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D479E1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9019E24" w14:textId="77777777" w:rsidR="00C07746" w:rsidRPr="00C07746" w:rsidRDefault="00C07746" w:rsidP="00C07746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86FA2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DA9BD" w14:textId="77777777" w:rsidR="00D17565" w:rsidRDefault="00D17565" w:rsidP="00983CE3">
      <w:r>
        <w:separator/>
      </w:r>
    </w:p>
  </w:endnote>
  <w:endnote w:type="continuationSeparator" w:id="0">
    <w:p w14:paraId="3DA74DC3" w14:textId="77777777" w:rsidR="00D17565" w:rsidRDefault="00D17565" w:rsidP="00983CE3">
      <w:r>
        <w:continuationSeparator/>
      </w:r>
    </w:p>
  </w:endnote>
  <w:endnote w:type="continuationNotice" w:id="1">
    <w:p w14:paraId="17ABDFBF" w14:textId="77777777" w:rsidR="00D17565" w:rsidRDefault="00D17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3D1471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D0D42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4709" w14:textId="77777777" w:rsidR="00D17565" w:rsidRDefault="00D17565" w:rsidP="00983CE3">
      <w:r>
        <w:separator/>
      </w:r>
    </w:p>
  </w:footnote>
  <w:footnote w:type="continuationSeparator" w:id="0">
    <w:p w14:paraId="0FC11A54" w14:textId="77777777" w:rsidR="00D17565" w:rsidRDefault="00D17565" w:rsidP="00983CE3">
      <w:r>
        <w:continuationSeparator/>
      </w:r>
    </w:p>
  </w:footnote>
  <w:footnote w:type="continuationNotice" w:id="1">
    <w:p w14:paraId="0CB3C6A9" w14:textId="77777777" w:rsidR="00D17565" w:rsidRDefault="00D175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17565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D17565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7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1"/>
  </w:num>
  <w:num w:numId="5">
    <w:abstractNumId w:val="52"/>
  </w:num>
  <w:num w:numId="6">
    <w:abstractNumId w:val="17"/>
  </w:num>
  <w:num w:numId="7">
    <w:abstractNumId w:val="29"/>
  </w:num>
  <w:num w:numId="8">
    <w:abstractNumId w:val="45"/>
  </w:num>
  <w:num w:numId="9">
    <w:abstractNumId w:val="49"/>
  </w:num>
  <w:num w:numId="10">
    <w:abstractNumId w:val="30"/>
  </w:num>
  <w:num w:numId="11">
    <w:abstractNumId w:val="22"/>
  </w:num>
  <w:num w:numId="12">
    <w:abstractNumId w:val="14"/>
  </w:num>
  <w:num w:numId="13">
    <w:abstractNumId w:val="19"/>
  </w:num>
  <w:num w:numId="14">
    <w:abstractNumId w:val="33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8"/>
  </w:num>
  <w:num w:numId="26">
    <w:abstractNumId w:val="16"/>
  </w:num>
  <w:num w:numId="27">
    <w:abstractNumId w:val="50"/>
  </w:num>
  <w:num w:numId="28">
    <w:abstractNumId w:val="54"/>
  </w:num>
  <w:num w:numId="29">
    <w:abstractNumId w:val="38"/>
  </w:num>
  <w:num w:numId="30">
    <w:abstractNumId w:val="37"/>
  </w:num>
  <w:num w:numId="31">
    <w:abstractNumId w:val="28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3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3"/>
  </w:num>
  <w:num w:numId="47">
    <w:abstractNumId w:val="44"/>
  </w:num>
  <w:num w:numId="48">
    <w:abstractNumId w:val="34"/>
  </w:num>
  <w:num w:numId="49">
    <w:abstractNumId w:val="32"/>
  </w:num>
  <w:num w:numId="50">
    <w:abstractNumId w:val="20"/>
  </w:num>
  <w:num w:numId="51">
    <w:abstractNumId w:val="25"/>
  </w:num>
  <w:num w:numId="52">
    <w:abstractNumId w:val="40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7"/>
  </w:num>
  <w:num w:numId="64">
    <w:abstractNumId w:val="27"/>
  </w:num>
  <w:num w:numId="65">
    <w:abstractNumId w:val="15"/>
  </w:num>
  <w:num w:numId="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</w:num>
  <w:num w:numId="68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6465"/>
    <w:rsid w:val="00133C3F"/>
    <w:rsid w:val="00135E1C"/>
    <w:rsid w:val="00144AD6"/>
    <w:rsid w:val="00146CC8"/>
    <w:rsid w:val="001479F9"/>
    <w:rsid w:val="00153E4C"/>
    <w:rsid w:val="00154CE5"/>
    <w:rsid w:val="001553F9"/>
    <w:rsid w:val="00166A1C"/>
    <w:rsid w:val="0017463A"/>
    <w:rsid w:val="00181AA6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13BF0"/>
    <w:rsid w:val="00314176"/>
    <w:rsid w:val="0031484E"/>
    <w:rsid w:val="003148C1"/>
    <w:rsid w:val="00317854"/>
    <w:rsid w:val="00321BF9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1A0E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97153"/>
    <w:rsid w:val="004A1A7E"/>
    <w:rsid w:val="004A2B36"/>
    <w:rsid w:val="004A689E"/>
    <w:rsid w:val="004B1784"/>
    <w:rsid w:val="004B3546"/>
    <w:rsid w:val="004B3C50"/>
    <w:rsid w:val="004B7BCA"/>
    <w:rsid w:val="004C286C"/>
    <w:rsid w:val="004D27AE"/>
    <w:rsid w:val="004D37DE"/>
    <w:rsid w:val="004D65F1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1EEF"/>
    <w:rsid w:val="006B4957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03C8"/>
    <w:rsid w:val="007C4B76"/>
    <w:rsid w:val="007C6FE8"/>
    <w:rsid w:val="007D2E7B"/>
    <w:rsid w:val="007E2863"/>
    <w:rsid w:val="007E5974"/>
    <w:rsid w:val="007F32BF"/>
    <w:rsid w:val="007F5BC5"/>
    <w:rsid w:val="00806255"/>
    <w:rsid w:val="00816278"/>
    <w:rsid w:val="00832912"/>
    <w:rsid w:val="008434BF"/>
    <w:rsid w:val="008503DC"/>
    <w:rsid w:val="00853F92"/>
    <w:rsid w:val="0086335E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0D42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07746"/>
    <w:rsid w:val="00C30E73"/>
    <w:rsid w:val="00C33AE6"/>
    <w:rsid w:val="00C348A1"/>
    <w:rsid w:val="00C43A2F"/>
    <w:rsid w:val="00C611DB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7565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5E87"/>
    <w:rsid w:val="00F261DA"/>
    <w:rsid w:val="00F35032"/>
    <w:rsid w:val="00F432CD"/>
    <w:rsid w:val="00F436F6"/>
    <w:rsid w:val="00F45682"/>
    <w:rsid w:val="00F4655C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A2A04"/>
    <w:rsid w:val="00FB14DC"/>
    <w:rsid w:val="00FB265D"/>
    <w:rsid w:val="00FC2417"/>
    <w:rsid w:val="00FC68E9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013202-CAC2-4BD8-A76A-272C311AE3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720CC-CAFF-4024-8862-687459AF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3</cp:revision>
  <cp:lastPrinted>2023-02-27T09:08:00Z</cp:lastPrinted>
  <dcterms:created xsi:type="dcterms:W3CDTF">2024-01-12T07:26:00Z</dcterms:created>
  <dcterms:modified xsi:type="dcterms:W3CDTF">2024-01-15T08:37:00Z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