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08BE8" w14:textId="77777777" w:rsidR="00961802" w:rsidRDefault="00961802" w:rsidP="16DD74EF">
      <w:pPr>
        <w:spacing w:after="0"/>
        <w:rPr>
          <w:rStyle w:val="rynqvb"/>
          <w:rFonts w:cstheme="minorHAnsi"/>
        </w:rPr>
      </w:pPr>
    </w:p>
    <w:p w14:paraId="6AFA3B70" w14:textId="19E74436" w:rsidR="00565140" w:rsidRPr="00961802" w:rsidRDefault="00961802" w:rsidP="00961802">
      <w:pPr>
        <w:spacing w:after="0"/>
        <w:jc w:val="center"/>
        <w:rPr>
          <w:rStyle w:val="rynqvb"/>
          <w:rFonts w:cstheme="minorHAnsi"/>
          <w:b/>
        </w:rPr>
      </w:pPr>
      <w:r w:rsidRPr="00961802">
        <w:rPr>
          <w:rStyle w:val="rynqvb"/>
          <w:rFonts w:cstheme="minorHAnsi"/>
          <w:b/>
        </w:rPr>
        <w:t>Opis predmetu zákazky</w:t>
      </w:r>
    </w:p>
    <w:p w14:paraId="43B8A4AD" w14:textId="77777777" w:rsidR="00961802" w:rsidRPr="007D4AA1" w:rsidRDefault="00961802" w:rsidP="16DD74EF">
      <w:pPr>
        <w:spacing w:after="0"/>
        <w:rPr>
          <w:rStyle w:val="rynqvb"/>
          <w:rFonts w:cstheme="minorHAnsi"/>
        </w:rPr>
      </w:pPr>
    </w:p>
    <w:p w14:paraId="63397DBD" w14:textId="4B299AA4" w:rsidR="00565140" w:rsidRPr="007D4AA1" w:rsidRDefault="006E66DD" w:rsidP="00565140">
      <w:pPr>
        <w:spacing w:after="0"/>
        <w:rPr>
          <w:rStyle w:val="rynqvb"/>
          <w:rFonts w:cstheme="minorHAnsi"/>
          <w:b/>
        </w:rPr>
      </w:pPr>
      <w:r w:rsidRPr="006E66DD">
        <w:rPr>
          <w:rStyle w:val="rynqvb"/>
          <w:rFonts w:cstheme="minorHAnsi"/>
          <w:b/>
        </w:rPr>
        <w:t xml:space="preserve">Názov: </w:t>
      </w:r>
      <w:r w:rsidR="00565140" w:rsidRPr="007D4AA1">
        <w:rPr>
          <w:rStyle w:val="rynqvb"/>
          <w:rFonts w:cstheme="minorHAnsi"/>
          <w:b/>
        </w:rPr>
        <w:t xml:space="preserve">Srdcový ireverzibilný </w:t>
      </w:r>
      <w:proofErr w:type="spellStart"/>
      <w:r w:rsidR="00565140" w:rsidRPr="007D4AA1">
        <w:rPr>
          <w:rStyle w:val="rynqvb"/>
          <w:rFonts w:cstheme="minorHAnsi"/>
          <w:b/>
        </w:rPr>
        <w:t>elektroporačný</w:t>
      </w:r>
      <w:proofErr w:type="spellEnd"/>
      <w:r w:rsidR="00565140" w:rsidRPr="007D4AA1">
        <w:rPr>
          <w:rStyle w:val="rynqvb"/>
          <w:rFonts w:cstheme="minorHAnsi"/>
          <w:b/>
        </w:rPr>
        <w:t xml:space="preserve"> systém – generátor</w:t>
      </w:r>
    </w:p>
    <w:p w14:paraId="2248384C" w14:textId="77777777" w:rsidR="00565140" w:rsidRPr="007D4AA1" w:rsidRDefault="00565140">
      <w:pPr>
        <w:rPr>
          <w:rStyle w:val="rynqvb"/>
          <w:rFonts w:cstheme="minorHAnsi"/>
        </w:rPr>
      </w:pPr>
      <w:r w:rsidRPr="007D4AA1">
        <w:rPr>
          <w:rStyle w:val="rynqvb"/>
          <w:rFonts w:cstheme="minorHAnsi"/>
        </w:rPr>
        <w:t xml:space="preserve">Kód GMDN 65067 </w:t>
      </w:r>
    </w:p>
    <w:p w14:paraId="4BB86767" w14:textId="77777777" w:rsidR="00565140" w:rsidRPr="007D4AA1" w:rsidRDefault="00565140">
      <w:pPr>
        <w:rPr>
          <w:rStyle w:val="rynqvb"/>
          <w:rFonts w:cstheme="minorHAnsi"/>
          <w:b/>
        </w:rPr>
      </w:pPr>
      <w:r w:rsidRPr="007D4AA1">
        <w:rPr>
          <w:rStyle w:val="rynqvb"/>
          <w:rFonts w:cstheme="minorHAnsi"/>
          <w:b/>
        </w:rPr>
        <w:t>Popis hlavného zariadenia</w:t>
      </w:r>
    </w:p>
    <w:p w14:paraId="6533EA36" w14:textId="332CDD07" w:rsidR="00565140" w:rsidRPr="007D4AA1" w:rsidRDefault="00565140" w:rsidP="002B093B">
      <w:pPr>
        <w:jc w:val="both"/>
        <w:rPr>
          <w:rStyle w:val="rynqvb"/>
          <w:rFonts w:cstheme="minorHAnsi"/>
        </w:rPr>
      </w:pPr>
      <w:r w:rsidRPr="007D4AA1">
        <w:rPr>
          <w:rStyle w:val="rynqvb"/>
          <w:rFonts w:cstheme="minorHAnsi"/>
        </w:rPr>
        <w:t xml:space="preserve">Srdcové zariadenie na elektrickú energiu zo siete (napájané striedavým prúdom) určené na generovanie </w:t>
      </w:r>
      <w:proofErr w:type="spellStart"/>
      <w:r w:rsidRPr="007D4AA1">
        <w:rPr>
          <w:rStyle w:val="rynqvb"/>
          <w:rFonts w:cstheme="minorHAnsi"/>
        </w:rPr>
        <w:t>mikrosekundových</w:t>
      </w:r>
      <w:proofErr w:type="spellEnd"/>
      <w:r w:rsidRPr="007D4AA1">
        <w:rPr>
          <w:rStyle w:val="rynqvb"/>
          <w:rFonts w:cstheme="minorHAnsi"/>
        </w:rPr>
        <w:t xml:space="preserve"> elektrických impulzov na vytvorenie ireverzibilnej </w:t>
      </w:r>
      <w:proofErr w:type="spellStart"/>
      <w:r w:rsidRPr="007D4AA1">
        <w:rPr>
          <w:rStyle w:val="rynqvb"/>
          <w:rFonts w:cstheme="minorHAnsi"/>
        </w:rPr>
        <w:t>elektroporácie</w:t>
      </w:r>
      <w:proofErr w:type="spellEnd"/>
      <w:r w:rsidRPr="007D4AA1">
        <w:rPr>
          <w:rStyle w:val="rynqvb"/>
          <w:rFonts w:cstheme="minorHAnsi"/>
        </w:rPr>
        <w:t xml:space="preserve"> bunkovej membrány (fenomén, ktorý vyvoláva otvorenie pórov bunkovej membrány, čo vedie k strate </w:t>
      </w:r>
      <w:proofErr w:type="spellStart"/>
      <w:r w:rsidRPr="007D4AA1">
        <w:rPr>
          <w:rStyle w:val="rynqvb"/>
          <w:rFonts w:cstheme="minorHAnsi"/>
        </w:rPr>
        <w:t>homeostázy</w:t>
      </w:r>
      <w:proofErr w:type="spellEnd"/>
      <w:r w:rsidRPr="007D4AA1">
        <w:rPr>
          <w:rStyle w:val="rynqvb"/>
          <w:rFonts w:cstheme="minorHAnsi"/>
        </w:rPr>
        <w:t xml:space="preserve"> a následnej bunkovej smrti) na selektívnu netepelnú abláciu</w:t>
      </w:r>
      <w:r w:rsidRPr="007D4AA1">
        <w:rPr>
          <w:rStyle w:val="hwtze"/>
          <w:rFonts w:cstheme="minorHAnsi"/>
        </w:rPr>
        <w:t xml:space="preserve"> </w:t>
      </w:r>
      <w:r w:rsidRPr="007D4AA1">
        <w:rPr>
          <w:rStyle w:val="rynqvb"/>
          <w:rFonts w:cstheme="minorHAnsi"/>
        </w:rPr>
        <w:t>srdcových tkanív.</w:t>
      </w:r>
      <w:r w:rsidRPr="007D4AA1">
        <w:rPr>
          <w:rStyle w:val="hwtze"/>
          <w:rFonts w:cstheme="minorHAnsi"/>
        </w:rPr>
        <w:t xml:space="preserve"> </w:t>
      </w:r>
      <w:r w:rsidRPr="007D4AA1">
        <w:rPr>
          <w:rStyle w:val="rynqvb"/>
          <w:rFonts w:cstheme="minorHAnsi"/>
        </w:rPr>
        <w:t>Systém zahŕňa ovládacie prvky (napr. nožný spínač), používateľské rozhranie a je navrhnutý na pripojenie k príslušnému zariadeniu na zaznamenávanie/mapovanie srdca a katétru.</w:t>
      </w:r>
    </w:p>
    <w:p w14:paraId="7CCCC700" w14:textId="77777777" w:rsidR="00565140" w:rsidRPr="007D4AA1" w:rsidRDefault="00565140">
      <w:pPr>
        <w:rPr>
          <w:rStyle w:val="rynqvb"/>
          <w:rFonts w:cstheme="minorHAnsi"/>
          <w:b/>
        </w:rPr>
      </w:pPr>
      <w:r w:rsidRPr="007D4AA1">
        <w:rPr>
          <w:rStyle w:val="rynqvb"/>
          <w:rFonts w:cstheme="minorHAnsi"/>
          <w:b/>
        </w:rPr>
        <w:t>Taktiež požadované</w:t>
      </w:r>
    </w:p>
    <w:p w14:paraId="32446C9E" w14:textId="2F08B291" w:rsidR="00565140" w:rsidRPr="007D4AA1" w:rsidRDefault="00565140" w:rsidP="002B093B">
      <w:pPr>
        <w:jc w:val="both"/>
        <w:rPr>
          <w:rStyle w:val="rynqvb"/>
          <w:rFonts w:cstheme="minorHAnsi"/>
        </w:rPr>
      </w:pPr>
      <w:r w:rsidRPr="007D4AA1">
        <w:rPr>
          <w:rStyle w:val="rynqvb"/>
          <w:rFonts w:cstheme="minorHAnsi"/>
        </w:rPr>
        <w:t xml:space="preserve">Systém musí byť navrhnutý/určený na použitie pri izolácii pľúcnej žily počas ablácie </w:t>
      </w:r>
      <w:proofErr w:type="spellStart"/>
      <w:r w:rsidRPr="007D4AA1">
        <w:rPr>
          <w:rStyle w:val="rynqvb"/>
          <w:rFonts w:cstheme="minorHAnsi"/>
        </w:rPr>
        <w:t>paroxyzmálnej</w:t>
      </w:r>
      <w:proofErr w:type="spellEnd"/>
      <w:r w:rsidRPr="007D4AA1">
        <w:rPr>
          <w:rStyle w:val="rynqvb"/>
          <w:rFonts w:cstheme="minorHAnsi"/>
        </w:rPr>
        <w:t xml:space="preserve"> </w:t>
      </w:r>
      <w:proofErr w:type="spellStart"/>
      <w:r w:rsidRPr="007D4AA1">
        <w:rPr>
          <w:rStyle w:val="rynqvb"/>
          <w:rFonts w:cstheme="minorHAnsi"/>
        </w:rPr>
        <w:t>fibrilácie</w:t>
      </w:r>
      <w:proofErr w:type="spellEnd"/>
      <w:r w:rsidRPr="007D4AA1">
        <w:rPr>
          <w:rStyle w:val="rynqvb"/>
          <w:rFonts w:cstheme="minorHAnsi"/>
        </w:rPr>
        <w:t xml:space="preserve"> predsiení</w:t>
      </w:r>
      <w:r w:rsidR="008A7CC0" w:rsidRPr="007D4AA1">
        <w:rPr>
          <w:rStyle w:val="rynqvb"/>
          <w:rFonts w:cstheme="minorHAnsi"/>
        </w:rPr>
        <w:t xml:space="preserve"> srdca</w:t>
      </w:r>
      <w:r w:rsidRPr="007D4AA1">
        <w:rPr>
          <w:rStyle w:val="rynqvb"/>
          <w:rFonts w:cstheme="minorHAnsi"/>
        </w:rPr>
        <w:t xml:space="preserve">. </w:t>
      </w:r>
    </w:p>
    <w:p w14:paraId="7DBC644F" w14:textId="490DAC63" w:rsidR="00565140" w:rsidRPr="007D4AA1" w:rsidRDefault="00565140" w:rsidP="002B093B">
      <w:pPr>
        <w:jc w:val="both"/>
        <w:rPr>
          <w:rStyle w:val="rynqvb"/>
          <w:rFonts w:cstheme="minorHAnsi"/>
        </w:rPr>
      </w:pPr>
      <w:r w:rsidRPr="007D4AA1">
        <w:rPr>
          <w:rStyle w:val="rynqvb"/>
          <w:rFonts w:cstheme="minorHAnsi"/>
        </w:rPr>
        <w:t>Systém musí byť kompatibilný so špeciálnym zdravotníckym materiálom zaradeným do kategorizácie MZ SR v kapitole XB14.19.2</w:t>
      </w:r>
      <w:r w:rsidR="00CC1BB2">
        <w:rPr>
          <w:rStyle w:val="Odkaznapoznmkupodiarou"/>
          <w:rFonts w:cstheme="minorHAnsi"/>
        </w:rPr>
        <w:footnoteReference w:id="1"/>
      </w:r>
      <w:r w:rsidRPr="007D4AA1">
        <w:rPr>
          <w:rStyle w:val="rynqvb"/>
          <w:rFonts w:cstheme="minorHAnsi"/>
        </w:rPr>
        <w:t xml:space="preserve"> Systém ablácie a mapovania pľúcnych žíl – </w:t>
      </w:r>
      <w:proofErr w:type="spellStart"/>
      <w:r w:rsidRPr="007D4AA1">
        <w:rPr>
          <w:rStyle w:val="rynqvb"/>
          <w:rFonts w:cstheme="minorHAnsi"/>
        </w:rPr>
        <w:t>elektroporácia</w:t>
      </w:r>
      <w:proofErr w:type="spellEnd"/>
      <w:r w:rsidRPr="007D4AA1">
        <w:rPr>
          <w:rStyle w:val="rynqvb"/>
          <w:rFonts w:cstheme="minorHAnsi"/>
        </w:rPr>
        <w:t xml:space="preserve">. </w:t>
      </w:r>
    </w:p>
    <w:p w14:paraId="7A5E3807" w14:textId="5B281648" w:rsidR="00565140" w:rsidRPr="007D4AA1" w:rsidRDefault="00565140" w:rsidP="002B093B">
      <w:pPr>
        <w:jc w:val="both"/>
        <w:rPr>
          <w:rStyle w:val="rynqvb"/>
          <w:rFonts w:cstheme="minorHAnsi"/>
        </w:rPr>
      </w:pPr>
      <w:r w:rsidRPr="007D4AA1">
        <w:rPr>
          <w:rStyle w:val="rynqvb"/>
          <w:rFonts w:cstheme="minorHAnsi"/>
        </w:rPr>
        <w:t xml:space="preserve">Generátor musí byť schopný dodávať </w:t>
      </w:r>
      <w:proofErr w:type="spellStart"/>
      <w:r w:rsidRPr="007D4AA1">
        <w:rPr>
          <w:rStyle w:val="rynqvb"/>
          <w:rFonts w:cstheme="minorHAnsi"/>
        </w:rPr>
        <w:t>pulznú</w:t>
      </w:r>
      <w:proofErr w:type="spellEnd"/>
      <w:r w:rsidRPr="007D4AA1">
        <w:rPr>
          <w:rStyle w:val="rynqvb"/>
          <w:rFonts w:cstheme="minorHAnsi"/>
        </w:rPr>
        <w:t xml:space="preserve"> abláciu poľa bezpečným a spoľahlivým spôsobom. </w:t>
      </w:r>
    </w:p>
    <w:p w14:paraId="1DFD875E" w14:textId="74AEDDDB" w:rsidR="00565140" w:rsidRPr="007D4AA1" w:rsidRDefault="00565140" w:rsidP="002B093B">
      <w:pPr>
        <w:jc w:val="both"/>
        <w:rPr>
          <w:rStyle w:val="rynqvb"/>
          <w:rFonts w:cstheme="minorHAnsi"/>
        </w:rPr>
      </w:pPr>
      <w:r w:rsidRPr="007D4AA1">
        <w:rPr>
          <w:rStyle w:val="rynqvb"/>
          <w:rFonts w:cstheme="minorHAnsi"/>
        </w:rPr>
        <w:t>Súčasťou dodávky musia byť aj ďalšie príslušenstvo</w:t>
      </w:r>
      <w:r w:rsidR="007B20EB">
        <w:rPr>
          <w:rStyle w:val="rynqvb"/>
          <w:rFonts w:cstheme="minorHAnsi"/>
        </w:rPr>
        <w:t xml:space="preserve"> (RSM modul a kabeláž)</w:t>
      </w:r>
      <w:r w:rsidRPr="007D4AA1">
        <w:rPr>
          <w:rStyle w:val="rynqvb"/>
          <w:rFonts w:cstheme="minorHAnsi"/>
        </w:rPr>
        <w:t>, ktoré umožňuj</w:t>
      </w:r>
      <w:r w:rsidR="007B20EB">
        <w:rPr>
          <w:rStyle w:val="rynqvb"/>
          <w:rFonts w:cstheme="minorHAnsi"/>
        </w:rPr>
        <w:t>e</w:t>
      </w:r>
      <w:r w:rsidRPr="007D4AA1">
        <w:rPr>
          <w:rStyle w:val="rynqvb"/>
          <w:rFonts w:cstheme="minorHAnsi"/>
        </w:rPr>
        <w:t xml:space="preserve"> pripojenie systémových elektród k záznamovému </w:t>
      </w:r>
      <w:r w:rsidR="007B20EB">
        <w:rPr>
          <w:rStyle w:val="rynqvb"/>
          <w:rFonts w:cstheme="minorHAnsi"/>
        </w:rPr>
        <w:t xml:space="preserve">a </w:t>
      </w:r>
      <w:proofErr w:type="spellStart"/>
      <w:r w:rsidRPr="007D4AA1">
        <w:rPr>
          <w:rStyle w:val="rynqvb"/>
          <w:rFonts w:cstheme="minorHAnsi"/>
        </w:rPr>
        <w:t>mapovaciemu</w:t>
      </w:r>
      <w:proofErr w:type="spellEnd"/>
      <w:r w:rsidRPr="007D4AA1">
        <w:rPr>
          <w:rStyle w:val="rynqvb"/>
          <w:rFonts w:cstheme="minorHAnsi"/>
        </w:rPr>
        <w:t xml:space="preserve"> systému a </w:t>
      </w:r>
      <w:r w:rsidR="007B20EB" w:rsidRPr="007D4AA1">
        <w:rPr>
          <w:rStyle w:val="rynqvb"/>
          <w:rFonts w:cstheme="minorHAnsi"/>
        </w:rPr>
        <w:t>umožňuj</w:t>
      </w:r>
      <w:r w:rsidR="007B20EB">
        <w:rPr>
          <w:rStyle w:val="rynqvb"/>
          <w:rFonts w:cstheme="minorHAnsi"/>
        </w:rPr>
        <w:t>e</w:t>
      </w:r>
      <w:r w:rsidR="007B20EB" w:rsidRPr="007D4AA1">
        <w:rPr>
          <w:rStyle w:val="rynqvb"/>
          <w:rFonts w:cstheme="minorHAnsi"/>
        </w:rPr>
        <w:t xml:space="preserve"> </w:t>
      </w:r>
      <w:r w:rsidRPr="007D4AA1">
        <w:rPr>
          <w:rStyle w:val="rynqvb"/>
          <w:rFonts w:cstheme="minorHAnsi"/>
        </w:rPr>
        <w:t>použiť diagnostické katétre, ktoré možno použiť na srdcovú stimuláciu.</w:t>
      </w:r>
    </w:p>
    <w:p w14:paraId="3B2EAB7B" w14:textId="5FC53599" w:rsidR="16DD74EF" w:rsidRDefault="00565140" w:rsidP="002B093B">
      <w:pPr>
        <w:jc w:val="both"/>
        <w:rPr>
          <w:rStyle w:val="rynqvb"/>
          <w:rFonts w:cstheme="minorHAnsi"/>
        </w:rPr>
      </w:pPr>
      <w:r w:rsidRPr="007D4AA1">
        <w:rPr>
          <w:rStyle w:val="rynqvb"/>
          <w:rFonts w:cstheme="minorHAnsi"/>
        </w:rPr>
        <w:t xml:space="preserve">Generátor poľa pre </w:t>
      </w:r>
      <w:proofErr w:type="spellStart"/>
      <w:r w:rsidRPr="007D4AA1">
        <w:rPr>
          <w:rStyle w:val="rynqvb"/>
          <w:rFonts w:cstheme="minorHAnsi"/>
        </w:rPr>
        <w:t>pulznú</w:t>
      </w:r>
      <w:proofErr w:type="spellEnd"/>
      <w:r w:rsidRPr="007D4AA1">
        <w:rPr>
          <w:rStyle w:val="rynqvb"/>
          <w:rFonts w:cstheme="minorHAnsi"/>
        </w:rPr>
        <w:t xml:space="preserve"> abláciu mus</w:t>
      </w:r>
      <w:r w:rsidR="00861A42">
        <w:rPr>
          <w:rStyle w:val="rynqvb"/>
          <w:rFonts w:cstheme="minorHAnsi"/>
        </w:rPr>
        <w:t>í</w:t>
      </w:r>
      <w:r w:rsidRPr="007D4AA1">
        <w:rPr>
          <w:rStyle w:val="rynqvb"/>
          <w:rFonts w:cstheme="minorHAnsi"/>
        </w:rPr>
        <w:t xml:space="preserve"> mať označenie CE</w:t>
      </w:r>
      <w:r w:rsidR="007B20EB">
        <w:rPr>
          <w:rStyle w:val="rynqvb"/>
          <w:rFonts w:cstheme="minorHAnsi"/>
        </w:rPr>
        <w:t>.</w:t>
      </w:r>
      <w:r w:rsidRPr="007D4AA1">
        <w:rPr>
          <w:rStyle w:val="rynqvb"/>
          <w:rFonts w:cstheme="minorHAnsi"/>
        </w:rPr>
        <w:t xml:space="preserve"> </w:t>
      </w:r>
    </w:p>
    <w:p w14:paraId="36BD3D09" w14:textId="508433F4" w:rsidR="16DD74EF" w:rsidRDefault="16DD74EF" w:rsidP="16DD74EF">
      <w:pPr>
        <w:rPr>
          <w:rStyle w:val="rynqvb"/>
          <w:rFonts w:cstheme="minorHAnsi"/>
        </w:rPr>
      </w:pPr>
    </w:p>
    <w:p w14:paraId="7AC9F7FF" w14:textId="313BE21B" w:rsidR="00233B3D" w:rsidRDefault="00233B3D" w:rsidP="16DD74EF">
      <w:pPr>
        <w:rPr>
          <w:rStyle w:val="rynqvb"/>
          <w:rFonts w:cstheme="minorHAnsi"/>
        </w:rPr>
      </w:pPr>
    </w:p>
    <w:p w14:paraId="615DF202" w14:textId="6C1A2C83" w:rsidR="00233B3D" w:rsidRDefault="00233B3D" w:rsidP="16DD74EF">
      <w:pPr>
        <w:rPr>
          <w:rStyle w:val="rynqvb"/>
          <w:rFonts w:cstheme="minorHAnsi"/>
        </w:rPr>
      </w:pPr>
    </w:p>
    <w:p w14:paraId="432A8C1C" w14:textId="77777777" w:rsidR="00233B3D" w:rsidRDefault="00233B3D" w:rsidP="16DD74EF">
      <w:pPr>
        <w:rPr>
          <w:rStyle w:val="rynqvb"/>
          <w:rFonts w:cstheme="minorHAnsi"/>
        </w:rPr>
      </w:pPr>
    </w:p>
    <w:p w14:paraId="5224D8BD" w14:textId="6A9BA685" w:rsidR="00B076C5" w:rsidRDefault="00B076C5" w:rsidP="16DD74EF">
      <w:pPr>
        <w:rPr>
          <w:rStyle w:val="rynqvb"/>
          <w:rFonts w:cstheme="minorHAnsi"/>
        </w:rPr>
      </w:pPr>
    </w:p>
    <w:p w14:paraId="705030AD" w14:textId="4F68606C" w:rsidR="00B076C5" w:rsidRDefault="00B076C5" w:rsidP="16DD74EF">
      <w:pPr>
        <w:rPr>
          <w:rStyle w:val="rynqvb"/>
          <w:rFonts w:cstheme="minorHAnsi"/>
        </w:rPr>
      </w:pPr>
    </w:p>
    <w:p w14:paraId="7247E792" w14:textId="4B8BD229" w:rsidR="00B076C5" w:rsidRDefault="00B076C5" w:rsidP="16DD74EF">
      <w:pPr>
        <w:rPr>
          <w:rStyle w:val="rynqvb"/>
          <w:rFonts w:cstheme="minorHAnsi"/>
        </w:rPr>
      </w:pPr>
    </w:p>
    <w:p w14:paraId="4E0A4E21" w14:textId="7C641CA7" w:rsidR="00B076C5" w:rsidRDefault="00B076C5" w:rsidP="16DD74EF">
      <w:pPr>
        <w:rPr>
          <w:rStyle w:val="rynqvb"/>
          <w:rFonts w:cstheme="minorHAnsi"/>
        </w:rPr>
      </w:pPr>
    </w:p>
    <w:p w14:paraId="27AC3C9D" w14:textId="159E15F3" w:rsidR="00B076C5" w:rsidRDefault="00B076C5" w:rsidP="16DD74EF">
      <w:pPr>
        <w:rPr>
          <w:rStyle w:val="rynqvb"/>
          <w:rFonts w:cstheme="minorHAnsi"/>
        </w:rPr>
      </w:pPr>
    </w:p>
    <w:p w14:paraId="6CBCC69E" w14:textId="77777777" w:rsidR="00B076C5" w:rsidRPr="007D4AA1" w:rsidRDefault="00B076C5" w:rsidP="16DD74EF">
      <w:pPr>
        <w:rPr>
          <w:rStyle w:val="rynqvb"/>
          <w:rFonts w:cstheme="minorHAns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16DD74EF" w:rsidRPr="007D4AA1" w14:paraId="1879BAA4" w14:textId="77777777" w:rsidTr="65CA3468">
        <w:trPr>
          <w:trHeight w:val="1245"/>
        </w:trPr>
        <w:tc>
          <w:tcPr>
            <w:tcW w:w="9060" w:type="dxa"/>
            <w:tcMar>
              <w:left w:w="70" w:type="dxa"/>
              <w:right w:w="70" w:type="dxa"/>
            </w:tcMar>
            <w:vAlign w:val="center"/>
          </w:tcPr>
          <w:p w14:paraId="03A1827A" w14:textId="6829F834" w:rsidR="16DD74EF" w:rsidRPr="007D4AA1" w:rsidRDefault="16DD74EF" w:rsidP="008A7CC0">
            <w:pPr>
              <w:rPr>
                <w:rFonts w:cstheme="minorHAnsi"/>
                <w:b/>
              </w:rPr>
            </w:pPr>
            <w:r w:rsidRPr="007D4AA1">
              <w:rPr>
                <w:rStyle w:val="rynqvb"/>
                <w:rFonts w:cstheme="minorHAnsi"/>
                <w:b/>
              </w:rPr>
              <w:lastRenderedPageBreak/>
              <w:t xml:space="preserve">Minimálne technické požiadavky na generátor srdcového ireverzibilného </w:t>
            </w:r>
            <w:proofErr w:type="spellStart"/>
            <w:r w:rsidRPr="007D4AA1">
              <w:rPr>
                <w:rStyle w:val="rynqvb"/>
                <w:rFonts w:cstheme="minorHAnsi"/>
                <w:b/>
              </w:rPr>
              <w:t>elektroporačného</w:t>
            </w:r>
            <w:proofErr w:type="spellEnd"/>
            <w:r w:rsidRPr="007D4AA1">
              <w:rPr>
                <w:rStyle w:val="rynqvb"/>
                <w:rFonts w:cstheme="minorHAnsi"/>
                <w:b/>
              </w:rPr>
              <w:t xml:space="preserve"> systému</w:t>
            </w:r>
            <w:r w:rsidRPr="007D4AA1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</w:p>
          <w:tbl>
            <w:tblPr>
              <w:tblpPr w:leftFromText="141" w:rightFromText="141" w:vertAnchor="text" w:tblpXSpec="center" w:tblpY="1"/>
              <w:tblOverlap w:val="never"/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126"/>
              <w:gridCol w:w="2127"/>
            </w:tblGrid>
            <w:tr w:rsidR="00B076C5" w:rsidRPr="007D4AA1" w14:paraId="4737AD9D" w14:textId="77777777" w:rsidTr="00233B3D">
              <w:trPr>
                <w:cantSplit/>
                <w:trHeight w:val="1691"/>
                <w:tblHeader/>
              </w:trPr>
              <w:tc>
                <w:tcPr>
                  <w:tcW w:w="4673" w:type="dxa"/>
                  <w:shd w:val="clear" w:color="auto" w:fill="D9D9D9" w:themeFill="background1" w:themeFillShade="D9"/>
                  <w:tcMar>
                    <w:left w:w="70" w:type="dxa"/>
                    <w:right w:w="70" w:type="dxa"/>
                  </w:tcMar>
                  <w:vAlign w:val="center"/>
                </w:tcPr>
                <w:p w14:paraId="08604CD5" w14:textId="3036C103" w:rsidR="00B076C5" w:rsidRPr="007D4AA1" w:rsidRDefault="00B076C5" w:rsidP="00B03969">
                  <w:pPr>
                    <w:spacing w:after="0"/>
                    <w:rPr>
                      <w:rFonts w:cstheme="minorHAnsi"/>
                    </w:rPr>
                  </w:pPr>
                  <w:r>
                    <w:rPr>
                      <w:rFonts w:eastAsia="Calibri" w:cstheme="minorHAnsi"/>
                      <w:b/>
                      <w:bCs/>
                    </w:rPr>
                    <w:t>Požadovaná t</w:t>
                  </w:r>
                  <w:r w:rsidRPr="007D4AA1">
                    <w:rPr>
                      <w:rFonts w:eastAsia="Calibri" w:cstheme="minorHAnsi"/>
                      <w:b/>
                      <w:bCs/>
                    </w:rPr>
                    <w:t>echnická špecifikácia</w:t>
                  </w:r>
                  <w:r>
                    <w:rPr>
                      <w:rFonts w:eastAsia="Calibri" w:cstheme="minorHAnsi"/>
                      <w:b/>
                      <w:bCs/>
                    </w:rPr>
                    <w:t>, parametre a funkcionality</w:t>
                  </w:r>
                </w:p>
              </w:tc>
              <w:tc>
                <w:tcPr>
                  <w:tcW w:w="4253" w:type="dxa"/>
                  <w:gridSpan w:val="2"/>
                  <w:shd w:val="clear" w:color="auto" w:fill="D9D9D9" w:themeFill="background1" w:themeFillShade="D9"/>
                  <w:tcMar>
                    <w:left w:w="70" w:type="dxa"/>
                    <w:right w:w="70" w:type="dxa"/>
                  </w:tcMar>
                  <w:vAlign w:val="center"/>
                </w:tcPr>
                <w:p w14:paraId="53015A2D" w14:textId="77777777" w:rsidR="00B076C5" w:rsidRPr="00B03969" w:rsidRDefault="00B076C5" w:rsidP="00B03969">
                  <w:pPr>
                    <w:spacing w:after="0"/>
                    <w:jc w:val="center"/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  <w:r w:rsidRPr="00B03969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Požaduje sa uviesť skutočnú špecifikáciu ponúkaného predmetu zákazky – výrobcu, typové označenie a technické parametre.</w:t>
                  </w:r>
                </w:p>
                <w:p w14:paraId="4026C45B" w14:textId="75ED6382" w:rsidR="00B076C5" w:rsidRPr="007D4AA1" w:rsidRDefault="00B076C5" w:rsidP="00B03969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B03969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V prípade číselnej hodnoty uviesť jej skutočnú hodnotu</w:t>
                  </w:r>
                </w:p>
              </w:tc>
            </w:tr>
            <w:tr w:rsidR="00B03969" w:rsidRPr="007D4AA1" w14:paraId="04CD66AD" w14:textId="77777777" w:rsidTr="00233B3D">
              <w:trPr>
                <w:cantSplit/>
                <w:trHeight w:val="66"/>
                <w:tblHeader/>
              </w:trPr>
              <w:tc>
                <w:tcPr>
                  <w:tcW w:w="4673" w:type="dxa"/>
                  <w:shd w:val="clear" w:color="auto" w:fill="D9D9D9" w:themeFill="background1" w:themeFillShade="D9"/>
                  <w:tcMar>
                    <w:left w:w="70" w:type="dxa"/>
                    <w:right w:w="70" w:type="dxa"/>
                  </w:tcMar>
                  <w:vAlign w:val="center"/>
                </w:tcPr>
                <w:p w14:paraId="6619A65E" w14:textId="1F264921" w:rsidR="00B03969" w:rsidRPr="007D4AA1" w:rsidRDefault="00B03969" w:rsidP="16DD74EF">
                  <w:pPr>
                    <w:spacing w:after="0"/>
                    <w:rPr>
                      <w:rFonts w:eastAsia="Calibri" w:cstheme="minorHAnsi"/>
                      <w:b/>
                      <w:bCs/>
                    </w:rPr>
                  </w:pPr>
                  <w:r>
                    <w:rPr>
                      <w:rFonts w:eastAsia="Calibri" w:cstheme="minorHAnsi"/>
                      <w:b/>
                      <w:bCs/>
                    </w:rPr>
                    <w:t>Výrobca/typové označenie:</w:t>
                  </w:r>
                </w:p>
              </w:tc>
              <w:tc>
                <w:tcPr>
                  <w:tcW w:w="4253" w:type="dxa"/>
                  <w:gridSpan w:val="2"/>
                  <w:shd w:val="clear" w:color="auto" w:fill="auto"/>
                  <w:vAlign w:val="center"/>
                </w:tcPr>
                <w:p w14:paraId="6AEF98FF" w14:textId="77777777" w:rsidR="00B03969" w:rsidRPr="007D4AA1" w:rsidRDefault="00B03969">
                  <w:pPr>
                    <w:rPr>
                      <w:rFonts w:cstheme="minorHAnsi"/>
                    </w:rPr>
                  </w:pPr>
                </w:p>
              </w:tc>
            </w:tr>
            <w:tr w:rsidR="00B076C5" w:rsidRPr="007D4AA1" w14:paraId="19E435B9" w14:textId="77777777" w:rsidTr="00233B3D">
              <w:trPr>
                <w:cantSplit/>
                <w:trHeight w:val="66"/>
                <w:tblHeader/>
              </w:trPr>
              <w:tc>
                <w:tcPr>
                  <w:tcW w:w="4673" w:type="dxa"/>
                  <w:shd w:val="clear" w:color="auto" w:fill="D9D9D9" w:themeFill="background1" w:themeFillShade="D9"/>
                  <w:tcMar>
                    <w:left w:w="70" w:type="dxa"/>
                    <w:right w:w="70" w:type="dxa"/>
                  </w:tcMar>
                  <w:vAlign w:val="center"/>
                </w:tcPr>
                <w:p w14:paraId="1207D309" w14:textId="3D4DB9BF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b/>
                      <w:bCs/>
                    </w:rPr>
                    <w:t xml:space="preserve">  Technické vlastnosti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  <w:vAlign w:val="center"/>
                </w:tcPr>
                <w:p w14:paraId="7D14E3D6" w14:textId="1CF6A03F" w:rsidR="00B076C5" w:rsidRPr="00233B3D" w:rsidRDefault="00B076C5" w:rsidP="00B076C5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233B3D">
                    <w:rPr>
                      <w:rFonts w:cstheme="minorHAnsi"/>
                      <w:sz w:val="20"/>
                      <w:szCs w:val="20"/>
                    </w:rPr>
                    <w:t>Uchádzač uvedie presnú číselnú hodnotu</w:t>
                  </w:r>
                </w:p>
              </w:tc>
              <w:tc>
                <w:tcPr>
                  <w:tcW w:w="2127" w:type="dxa"/>
                  <w:shd w:val="clear" w:color="auto" w:fill="D9D9D9" w:themeFill="background1" w:themeFillShade="D9"/>
                  <w:vAlign w:val="center"/>
                </w:tcPr>
                <w:p w14:paraId="1B423961" w14:textId="3C6E5080" w:rsidR="00B076C5" w:rsidRPr="00233B3D" w:rsidRDefault="00B076C5" w:rsidP="00B076C5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233B3D">
                    <w:rPr>
                      <w:rFonts w:cstheme="minorHAnsi"/>
                      <w:sz w:val="20"/>
                      <w:szCs w:val="20"/>
                    </w:rPr>
                    <w:t>Uchádzač uvedie „áno/nie“</w:t>
                  </w:r>
                </w:p>
              </w:tc>
            </w:tr>
            <w:tr w:rsidR="00B076C5" w:rsidRPr="007D4AA1" w14:paraId="55185C26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</w:tcPr>
                <w:p w14:paraId="2FC5BCB2" w14:textId="2FF32E33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 xml:space="preserve">Konzola </w:t>
                  </w:r>
                  <w:r>
                    <w:rPr>
                      <w:rFonts w:eastAsia="Calibri" w:cstheme="minorHAnsi"/>
                      <w:color w:val="000000" w:themeColor="text1"/>
                    </w:rPr>
                    <w:t xml:space="preserve">pre výkon </w:t>
                  </w:r>
                  <w:r w:rsidRPr="007D4AA1">
                    <w:rPr>
                      <w:rFonts w:eastAsia="Calibri" w:cstheme="minorHAnsi"/>
                      <w:color w:val="000000" w:themeColor="text1"/>
                    </w:rPr>
                    <w:t xml:space="preserve">ablácie </w:t>
                  </w:r>
                  <w:proofErr w:type="spellStart"/>
                  <w:r w:rsidRPr="007D4AA1">
                    <w:rPr>
                      <w:rFonts w:eastAsia="Calibri" w:cstheme="minorHAnsi"/>
                      <w:color w:val="000000" w:themeColor="text1"/>
                    </w:rPr>
                    <w:t>pulzným</w:t>
                  </w:r>
                  <w:proofErr w:type="spellEnd"/>
                  <w:r w:rsidRPr="007D4AA1">
                    <w:rPr>
                      <w:rFonts w:eastAsia="Calibri" w:cstheme="minorHAnsi"/>
                      <w:color w:val="000000" w:themeColor="text1"/>
                    </w:rPr>
                    <w:t xml:space="preserve"> elektrickým  poľom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79C75B3E" w14:textId="77777777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8F81787" w14:textId="200EFB31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B076C5" w:rsidRPr="007D4AA1" w14:paraId="40387479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</w:tcPr>
                <w:p w14:paraId="7A3743A2" w14:textId="53503CCA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>Variabilné výstupné napätie (1,8kV - 2,0kV)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08124E15" w14:textId="77777777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DF865E8" w14:textId="1862242B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B076C5" w:rsidRPr="007D4AA1" w14:paraId="34D30144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</w:tcPr>
                <w:p w14:paraId="5033626C" w14:textId="02B3AD79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>Generácia krátky</w:t>
                  </w:r>
                  <w:r>
                    <w:rPr>
                      <w:rFonts w:eastAsia="Calibri" w:cstheme="minorHAnsi"/>
                      <w:color w:val="000000" w:themeColor="text1"/>
                    </w:rPr>
                    <w:t xml:space="preserve">ch 2,5 sekundových aplikácií </w:t>
                  </w:r>
                  <w:proofErr w:type="spellStart"/>
                  <w:r>
                    <w:rPr>
                      <w:rFonts w:eastAsia="Calibri" w:cstheme="minorHAnsi"/>
                      <w:color w:val="000000" w:themeColor="text1"/>
                    </w:rPr>
                    <w:t>pul</w:t>
                  </w:r>
                  <w:r w:rsidRPr="007D4AA1">
                    <w:rPr>
                      <w:rFonts w:eastAsia="Calibri" w:cstheme="minorHAnsi"/>
                      <w:color w:val="000000" w:themeColor="text1"/>
                    </w:rPr>
                    <w:t>zným</w:t>
                  </w:r>
                  <w:proofErr w:type="spellEnd"/>
                  <w:r w:rsidRPr="007D4AA1">
                    <w:rPr>
                      <w:rFonts w:eastAsia="Calibri" w:cstheme="minorHAnsi"/>
                      <w:color w:val="000000" w:themeColor="text1"/>
                    </w:rPr>
                    <w:t xml:space="preserve"> poľom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78AE16EF" w14:textId="77777777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50B637E" w14:textId="10005AF5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B076C5" w:rsidRPr="007D4AA1" w14:paraId="5D0E1154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</w:tcPr>
                <w:p w14:paraId="3F8492B6" w14:textId="726A5A96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>Vstupné napätie 230V pri 50Hz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27DF4055" w14:textId="77777777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D13BEF7" w14:textId="1C814FCE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B076C5" w:rsidRPr="007D4AA1" w14:paraId="7112E131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</w:tcPr>
                <w:p w14:paraId="51816947" w14:textId="5AA503E5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 xml:space="preserve">Vrátane </w:t>
                  </w:r>
                  <w:r w:rsidRPr="007B20EB">
                    <w:rPr>
                      <w:rFonts w:eastAsia="Calibri" w:cstheme="minorHAnsi"/>
                      <w:color w:val="000000" w:themeColor="text1"/>
                    </w:rPr>
                    <w:t>RSM modul</w:t>
                  </w:r>
                  <w:r>
                    <w:rPr>
                      <w:rFonts w:eastAsia="Calibri" w:cstheme="minorHAnsi"/>
                      <w:color w:val="000000" w:themeColor="text1"/>
                    </w:rPr>
                    <w:t>u</w:t>
                  </w:r>
                  <w:r w:rsidRPr="007B20EB">
                    <w:rPr>
                      <w:rFonts w:eastAsia="Calibri" w:cstheme="minorHAnsi"/>
                      <w:color w:val="000000" w:themeColor="text1"/>
                    </w:rPr>
                    <w:t xml:space="preserve"> a kabeláž</w:t>
                  </w:r>
                  <w:r>
                    <w:rPr>
                      <w:rFonts w:eastAsia="Calibri" w:cstheme="minorHAnsi"/>
                      <w:color w:val="000000" w:themeColor="text1"/>
                    </w:rPr>
                    <w:t>e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04440AE4" w14:textId="77777777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706A5C7" w14:textId="12E8B3BD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B076C5" w:rsidRPr="007D4AA1" w14:paraId="6F4ADD86" w14:textId="77777777" w:rsidTr="00233B3D">
              <w:trPr>
                <w:trHeight w:val="630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</w:tcPr>
                <w:p w14:paraId="1314D9CF" w14:textId="2E0360EC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 xml:space="preserve">Kompatibilita s </w:t>
                  </w:r>
                  <w:proofErr w:type="spellStart"/>
                  <w:r w:rsidRPr="007D4AA1">
                    <w:rPr>
                      <w:rFonts w:eastAsia="Calibri" w:cstheme="minorHAnsi"/>
                      <w:color w:val="000000" w:themeColor="text1"/>
                    </w:rPr>
                    <w:t>ablačným</w:t>
                  </w:r>
                  <w:proofErr w:type="spellEnd"/>
                  <w:r w:rsidRPr="007D4AA1">
                    <w:rPr>
                      <w:rFonts w:eastAsia="Calibri" w:cstheme="minorHAnsi"/>
                      <w:color w:val="000000" w:themeColor="text1"/>
                    </w:rPr>
                    <w:t xml:space="preserve"> katétrom s variabilným priemerom a minimálne 20 pólmi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08720FD1" w14:textId="77777777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1BC7DCF" w14:textId="1ED5BAF5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B076C5" w:rsidRPr="007D4AA1" w14:paraId="0E09F621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</w:tcPr>
                <w:p w14:paraId="06FDB762" w14:textId="5C497F13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>Možnos</w:t>
                  </w:r>
                  <w:r>
                    <w:rPr>
                      <w:rFonts w:eastAsia="Calibri" w:cstheme="minorHAnsi"/>
                      <w:color w:val="000000" w:themeColor="text1"/>
                    </w:rPr>
                    <w:t>ť</w:t>
                  </w:r>
                  <w:r w:rsidRPr="007D4AA1">
                    <w:rPr>
                      <w:rFonts w:eastAsia="Calibri" w:cstheme="minorHAnsi"/>
                      <w:color w:val="000000" w:themeColor="text1"/>
                    </w:rPr>
                    <w:t xml:space="preserve"> používania rôzneho výstupného napätia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56E9481B" w14:textId="77777777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E78612A" w14:textId="31F674BD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B076C5" w:rsidRPr="007D4AA1" w14:paraId="2A03BA97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bottom"/>
                </w:tcPr>
                <w:p w14:paraId="792BB1BA" w14:textId="15560842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 xml:space="preserve">Bipolárna ablácia pomocou </w:t>
                  </w:r>
                  <w:proofErr w:type="spellStart"/>
                  <w:r w:rsidRPr="007D4AA1">
                    <w:rPr>
                      <w:rFonts w:eastAsia="Calibri" w:cstheme="minorHAnsi"/>
                      <w:color w:val="000000" w:themeColor="text1"/>
                    </w:rPr>
                    <w:t>bifázického</w:t>
                  </w:r>
                  <w:proofErr w:type="spellEnd"/>
                  <w:r w:rsidRPr="007D4AA1">
                    <w:rPr>
                      <w:rFonts w:eastAsia="Calibri" w:cstheme="minorHAnsi"/>
                      <w:color w:val="000000" w:themeColor="text1"/>
                    </w:rPr>
                    <w:t xml:space="preserve"> pulzu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582D0239" w14:textId="77777777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DFBD1B7" w14:textId="5AD5D3D9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B076C5" w:rsidRPr="007D4AA1" w14:paraId="796683BA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bottom"/>
                </w:tcPr>
                <w:p w14:paraId="177EDF31" w14:textId="6967939E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>Možnosť stimulácie priamo z konzoly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4175CEF0" w14:textId="77777777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41019CE" w14:textId="13BC7F8C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B076C5" w:rsidRPr="007D4AA1" w14:paraId="7145FC44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bottom"/>
                </w:tcPr>
                <w:p w14:paraId="23285775" w14:textId="453302AB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 xml:space="preserve">Priame prepojenie </w:t>
                  </w:r>
                  <w:proofErr w:type="spellStart"/>
                  <w:r w:rsidRPr="007D4AA1">
                    <w:rPr>
                      <w:rFonts w:eastAsia="Calibri" w:cstheme="minorHAnsi"/>
                      <w:color w:val="000000" w:themeColor="text1"/>
                    </w:rPr>
                    <w:t>ablačného</w:t>
                  </w:r>
                  <w:proofErr w:type="spellEnd"/>
                  <w:r w:rsidRPr="007D4AA1">
                    <w:rPr>
                      <w:rFonts w:eastAsia="Calibri" w:cstheme="minorHAnsi"/>
                      <w:color w:val="000000" w:themeColor="text1"/>
                    </w:rPr>
                    <w:t xml:space="preserve"> katétra s konzolou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318054B4" w14:textId="77777777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A6BAC24" w14:textId="0ED58C9E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B076C5" w:rsidRPr="007D4AA1" w14:paraId="388FA961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bottom"/>
                </w:tcPr>
                <w:p w14:paraId="7E175E9A" w14:textId="5E6E1A5E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>
                    <w:rPr>
                      <w:rFonts w:eastAsia="Calibri" w:cstheme="minorHAnsi"/>
                      <w:color w:val="000000" w:themeColor="text1"/>
                    </w:rPr>
                    <w:t>Užívateľsky i</w:t>
                  </w:r>
                  <w:r w:rsidRPr="007D4AA1">
                    <w:rPr>
                      <w:rFonts w:eastAsia="Calibri" w:cstheme="minorHAnsi"/>
                      <w:color w:val="000000" w:themeColor="text1"/>
                    </w:rPr>
                    <w:t>ntuitívne</w:t>
                  </w:r>
                  <w:r>
                    <w:rPr>
                      <w:rFonts w:eastAsia="Calibri" w:cstheme="minorHAnsi"/>
                      <w:color w:val="000000" w:themeColor="text1"/>
                    </w:rPr>
                    <w:t xml:space="preserve"> </w:t>
                  </w:r>
                  <w:r w:rsidRPr="007D4AA1">
                    <w:rPr>
                      <w:rFonts w:eastAsia="Calibri" w:cstheme="minorHAnsi"/>
                      <w:color w:val="000000" w:themeColor="text1"/>
                    </w:rPr>
                    <w:t>ovládanie konzoly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36F5AB3D" w14:textId="77777777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4BB931F" w14:textId="0D0FECA2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B076C5" w:rsidRPr="007D4AA1" w14:paraId="53C2A934" w14:textId="77777777" w:rsidTr="00233B3D">
              <w:trPr>
                <w:trHeight w:val="63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bottom"/>
                </w:tcPr>
                <w:p w14:paraId="3D9066D5" w14:textId="60C3F6C6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>Možnosť prepojenia konzoly s akýmkoľvek záznamovým systémom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2F9AFF97" w14:textId="77777777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5350082" w14:textId="16B4C29F" w:rsidR="00B076C5" w:rsidRPr="00B03969" w:rsidRDefault="00B076C5" w:rsidP="00B076C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B076C5" w:rsidRPr="007D4AA1" w14:paraId="5BCB7361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bottom"/>
                </w:tcPr>
                <w:p w14:paraId="6C8BAD67" w14:textId="471FB853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>Ľahká a b</w:t>
                  </w:r>
                  <w:r>
                    <w:rPr>
                      <w:rFonts w:eastAsia="Calibri" w:cstheme="minorHAnsi"/>
                      <w:color w:val="000000" w:themeColor="text1"/>
                    </w:rPr>
                    <w:t>e</w:t>
                  </w:r>
                  <w:r w:rsidRPr="007D4AA1">
                    <w:rPr>
                      <w:rFonts w:eastAsia="Calibri" w:cstheme="minorHAnsi"/>
                      <w:color w:val="000000" w:themeColor="text1"/>
                    </w:rPr>
                    <w:t>zpečná manipulácia s konzolou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6FE313AC" w14:textId="77777777" w:rsidR="00B076C5" w:rsidRPr="007D4AA1" w:rsidRDefault="00B076C5" w:rsidP="00B076C5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67B0E5D" w14:textId="6071269C" w:rsidR="00B076C5" w:rsidRPr="007D4AA1" w:rsidRDefault="00B076C5" w:rsidP="00B076C5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076C5" w:rsidRPr="007D4AA1" w14:paraId="439F1F97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</w:tcPr>
                <w:p w14:paraId="2D109E12" w14:textId="3633D5DF" w:rsidR="00B076C5" w:rsidRPr="007D4AA1" w:rsidRDefault="00B076C5" w:rsidP="00B076C5">
                  <w:pPr>
                    <w:spacing w:after="0"/>
                    <w:rPr>
                      <w:rFonts w:cstheme="minorHAnsi"/>
                    </w:rPr>
                  </w:pPr>
                  <w:r w:rsidRPr="007D4AA1">
                    <w:rPr>
                      <w:rFonts w:eastAsia="Calibri" w:cstheme="minorHAnsi"/>
                      <w:color w:val="000000" w:themeColor="text1"/>
                    </w:rPr>
                    <w:t>Dotyková obrazovka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11725902" w14:textId="77777777" w:rsidR="00B076C5" w:rsidRPr="007D4AA1" w:rsidRDefault="00B076C5" w:rsidP="00B076C5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5E86977" w14:textId="30D25E24" w:rsidR="00B076C5" w:rsidRPr="007D4AA1" w:rsidRDefault="00B076C5" w:rsidP="00B076C5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076C5" w:rsidRPr="007D4AA1" w14:paraId="5002A401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592CFE0A" w14:textId="04E6571F" w:rsidR="00B076C5" w:rsidRPr="007D4AA1" w:rsidRDefault="00B076C5" w:rsidP="00B076C5">
                  <w:pPr>
                    <w:spacing w:after="0"/>
                    <w:rPr>
                      <w:rFonts w:eastAsia="Calibri" w:cstheme="minorHAns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Plné servisné pokrytie vrátane všetkých náhradných dielov, počas záručnej doby a odstraňovanie vád v záručnej dobe min. </w:t>
                  </w:r>
                  <w:r w:rsidR="00B757C8">
                    <w:rPr>
                      <w:rFonts w:ascii="Calibri" w:hAnsi="Calibri" w:cs="Calibri"/>
                      <w:color w:val="000000"/>
                    </w:rPr>
                    <w:t>24</w:t>
                  </w:r>
                  <w:bookmarkStart w:id="0" w:name="_GoBack"/>
                  <w:bookmarkEnd w:id="0"/>
                  <w:r>
                    <w:rPr>
                      <w:rFonts w:ascii="Calibri" w:hAnsi="Calibri" w:cs="Calibri"/>
                      <w:color w:val="000000"/>
                    </w:rPr>
                    <w:t xml:space="preserve"> mesiacov (záručný servis)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0CFF0B5F" w14:textId="77777777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E1AAA43" w14:textId="4DECB596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</w:tr>
            <w:tr w:rsidR="00B076C5" w:rsidRPr="007D4AA1" w14:paraId="27341D37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4B204E0C" w14:textId="7BFDFF32" w:rsidR="00B076C5" w:rsidRPr="007D4AA1" w:rsidRDefault="00B076C5" w:rsidP="00B076C5">
                  <w:pPr>
                    <w:spacing w:after="0"/>
                    <w:rPr>
                      <w:rFonts w:eastAsia="Calibri" w:cstheme="minorHAns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Súčasťou dodávky musí byť zabezpečenie dovozu technológie na miesto určenia, inštalácia a uvedenie prístroja do prevádzky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18CA1B0B" w14:textId="77777777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15F11A1" w14:textId="2E233C39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</w:tr>
            <w:tr w:rsidR="00B076C5" w:rsidRPr="007D4AA1" w14:paraId="6F75FF8C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6E98D8D3" w14:textId="70320431" w:rsidR="00B076C5" w:rsidRPr="007D4AA1" w:rsidRDefault="00B076C5" w:rsidP="00B076C5">
                  <w:pPr>
                    <w:spacing w:after="0"/>
                    <w:rPr>
                      <w:rFonts w:eastAsia="Calibri" w:cstheme="minorHAns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Nový, nerepasovaný, nepoužívaný tovar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2B7C1997" w14:textId="77777777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8C317D3" w14:textId="2CB4B478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</w:tr>
            <w:tr w:rsidR="00B076C5" w:rsidRPr="007D4AA1" w14:paraId="163F2135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48CF591B" w14:textId="49D7B79F" w:rsidR="00B076C5" w:rsidRPr="007D4AA1" w:rsidRDefault="00B076C5" w:rsidP="00B076C5">
                  <w:pPr>
                    <w:spacing w:after="0"/>
                    <w:rPr>
                      <w:rFonts w:eastAsia="Calibri" w:cstheme="minorHAns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Uvedenie zariadenia do prevádzky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4ED6D271" w14:textId="77777777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59A29B6" w14:textId="60379187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</w:tr>
            <w:tr w:rsidR="00B076C5" w:rsidRPr="007D4AA1" w14:paraId="6FA691C2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383749D0" w14:textId="427EE821" w:rsidR="00B076C5" w:rsidRPr="007D4AA1" w:rsidRDefault="00B076C5" w:rsidP="00B076C5">
                  <w:pPr>
                    <w:spacing w:after="0"/>
                    <w:rPr>
                      <w:rFonts w:eastAsia="Calibri" w:cstheme="minorHAns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Zaškolenie min. 3 zamestnancov k prevádzke každého prístroja samostatne v mieste dodania prezenčnou formou v slovenskom jazyku. (t. j. ak sú v mieste dodania dodávané dva prístroje, </w:t>
                  </w: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v danom mieste dodania musia byť zaškolení 6 zamestnanci)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6FA77986" w14:textId="77777777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C179471" w14:textId="3A732D8E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</w:tr>
            <w:tr w:rsidR="00B076C5" w:rsidRPr="007D4AA1" w14:paraId="203BF521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57FA56BC" w14:textId="5DD44238" w:rsidR="00B076C5" w:rsidRPr="007D4AA1" w:rsidRDefault="00B076C5" w:rsidP="00B076C5">
                  <w:pPr>
                    <w:spacing w:after="0"/>
                    <w:rPr>
                      <w:rFonts w:eastAsia="Calibri" w:cstheme="minorHAns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Dodávateľ je povinný odstrániť vady bez zbytočného odkladu: najneskôr do 48 hodín od nahlásenia bez potreby náhradného dielu, alebo do 72 hodín pri potrebe náhradného dielu (</w:t>
                  </w:r>
                  <w:r>
                    <w:t>dni pracovného pokoja a štátne sviatky sa do týchto lehôt nezapočítavajú).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1B01A710" w14:textId="77777777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9DE4CFA" w14:textId="7C3BBE54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</w:tr>
            <w:tr w:rsidR="00B076C5" w:rsidRPr="007D4AA1" w14:paraId="1C4A10D9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0BB86852" w14:textId="7CC93281" w:rsidR="00B076C5" w:rsidRPr="007D4AA1" w:rsidRDefault="00B076C5" w:rsidP="00B076C5">
                  <w:pPr>
                    <w:spacing w:after="0"/>
                    <w:rPr>
                      <w:rFonts w:eastAsia="Calibri" w:cstheme="minorHAns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Doprava na miesto plnenia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4B7EAE6F" w14:textId="77777777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C86D945" w14:textId="57C213CE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</w:tr>
            <w:tr w:rsidR="00B076C5" w:rsidRPr="007D4AA1" w14:paraId="2D4E5FB4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2BB0FB48" w14:textId="610B0BD7" w:rsidR="00B076C5" w:rsidRPr="007D4AA1" w:rsidRDefault="00B076C5" w:rsidP="00B076C5">
                  <w:pPr>
                    <w:spacing w:after="0"/>
                    <w:rPr>
                      <w:rFonts w:eastAsia="Calibri" w:cstheme="minorHAns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Odovzdanie dokladov potrebných na jeho prevzatie a užívanie (dodací list, resp. preberací protokol, faktúra, manuál pre obsluhu v slovenskom jazyku v elektronickej aj papierovej forme, </w:t>
                  </w:r>
                  <w:r>
                    <w:t>predloženie technického listu</w:t>
                  </w:r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630F5854" w14:textId="77777777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FA4B8B2" w14:textId="6A2330AD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</w:tr>
            <w:tr w:rsidR="00B076C5" w:rsidRPr="007D4AA1" w14:paraId="4F880CC4" w14:textId="77777777" w:rsidTr="00233B3D">
              <w:trPr>
                <w:trHeight w:val="345"/>
              </w:trPr>
              <w:tc>
                <w:tcPr>
                  <w:tcW w:w="4673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3853549F" w14:textId="4E53C014" w:rsidR="00B076C5" w:rsidRPr="007D4AA1" w:rsidRDefault="00B076C5" w:rsidP="00B076C5">
                  <w:pPr>
                    <w:spacing w:after="0"/>
                    <w:rPr>
                      <w:rFonts w:eastAsia="Calibri" w:cstheme="minorHAns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Odskúšanie funkčnosti a prevádzkyschopnosti dodaného zariadenia</w:t>
                  </w:r>
                </w:p>
              </w:tc>
              <w:tc>
                <w:tcPr>
                  <w:tcW w:w="2126" w:type="dxa"/>
                  <w:tcMar>
                    <w:left w:w="70" w:type="dxa"/>
                    <w:right w:w="70" w:type="dxa"/>
                  </w:tcMar>
                  <w:vAlign w:val="center"/>
                </w:tcPr>
                <w:p w14:paraId="2BD9CEAD" w14:textId="77777777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FE2168D" w14:textId="15990ECF" w:rsidR="00B076C5" w:rsidRPr="007D4AA1" w:rsidRDefault="00B076C5" w:rsidP="00B076C5">
                  <w:pPr>
                    <w:spacing w:after="0"/>
                    <w:jc w:val="center"/>
                    <w:rPr>
                      <w:rFonts w:eastAsia="Calibri" w:cstheme="minorHAnsi"/>
                      <w:color w:val="000000" w:themeColor="text1"/>
                    </w:rPr>
                  </w:pPr>
                </w:p>
              </w:tc>
            </w:tr>
          </w:tbl>
          <w:p w14:paraId="2A3150D7" w14:textId="5A342E41" w:rsidR="16DD74EF" w:rsidRPr="007D4AA1" w:rsidRDefault="16DD74EF" w:rsidP="00FA285A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</w:tbl>
    <w:p w14:paraId="02EB378F" w14:textId="39D25FF6" w:rsidR="00D5115F" w:rsidRPr="007D4AA1" w:rsidRDefault="00D5115F">
      <w:pPr>
        <w:rPr>
          <w:rFonts w:cstheme="minorHAnsi"/>
        </w:rPr>
      </w:pPr>
    </w:p>
    <w:sectPr w:rsidR="00D5115F" w:rsidRPr="007D4AA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95A07" w14:textId="77777777" w:rsidR="002B1ABC" w:rsidRDefault="002B1ABC" w:rsidP="00CC1BB2">
      <w:pPr>
        <w:spacing w:after="0" w:line="240" w:lineRule="auto"/>
      </w:pPr>
      <w:r>
        <w:separator/>
      </w:r>
    </w:p>
  </w:endnote>
  <w:endnote w:type="continuationSeparator" w:id="0">
    <w:p w14:paraId="33B8273E" w14:textId="77777777" w:rsidR="002B1ABC" w:rsidRDefault="002B1ABC" w:rsidP="00CC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D5A1D" w14:textId="77777777" w:rsidR="002B1ABC" w:rsidRDefault="002B1ABC" w:rsidP="00CC1BB2">
      <w:pPr>
        <w:spacing w:after="0" w:line="240" w:lineRule="auto"/>
      </w:pPr>
      <w:r>
        <w:separator/>
      </w:r>
    </w:p>
  </w:footnote>
  <w:footnote w:type="continuationSeparator" w:id="0">
    <w:p w14:paraId="32D2EEAF" w14:textId="77777777" w:rsidR="002B1ABC" w:rsidRDefault="002B1ABC" w:rsidP="00CC1BB2">
      <w:pPr>
        <w:spacing w:after="0" w:line="240" w:lineRule="auto"/>
      </w:pPr>
      <w:r>
        <w:continuationSeparator/>
      </w:r>
    </w:p>
  </w:footnote>
  <w:footnote w:id="1">
    <w:p w14:paraId="2C9B2C68" w14:textId="3AA84D6C" w:rsidR="00CC1BB2" w:rsidRPr="00A51D07" w:rsidRDefault="00CC1BB2">
      <w:pPr>
        <w:pStyle w:val="Textpoznmkypodiarou"/>
        <w:rPr>
          <w:lang w:val="en-US"/>
        </w:rPr>
      </w:pPr>
      <w:r>
        <w:rPr>
          <w:rStyle w:val="Odkaznapoznmkupodiarou"/>
        </w:rPr>
        <w:footnoteRef/>
      </w:r>
      <w:r>
        <w:t xml:space="preserve"> </w:t>
      </w:r>
      <w:r w:rsidRPr="00CC1BB2">
        <w:t>Zoznam kategorizovaných špeciálnych zdravotníckych materiálov</w:t>
      </w:r>
      <w:r>
        <w:t xml:space="preserve"> definovaný na webovom sídle Ministerstva zdravotníctva SR (</w:t>
      </w:r>
      <w:r w:rsidRPr="00CC1BB2">
        <w:t>https://www.health.gov.sk/?zkszm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4E69D" w14:textId="0869E27A" w:rsidR="00FA48B9" w:rsidRDefault="00FA48B9" w:rsidP="00FA48B9">
    <w:pPr>
      <w:pStyle w:val="Hlavika"/>
      <w:jc w:val="right"/>
    </w:pPr>
    <w:r>
      <w:rPr>
        <w:rFonts w:ascii="Arial Narrow" w:hAnsi="Arial Narrow"/>
        <w:color w:val="000000"/>
        <w:szCs w:val="20"/>
      </w:rPr>
      <w:t>Príloha č. 1 SP: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5F"/>
    <w:rsid w:val="00056AEC"/>
    <w:rsid w:val="00233B3D"/>
    <w:rsid w:val="00270284"/>
    <w:rsid w:val="002B093B"/>
    <w:rsid w:val="002B1ABC"/>
    <w:rsid w:val="002C5C9F"/>
    <w:rsid w:val="002E7602"/>
    <w:rsid w:val="002F1C49"/>
    <w:rsid w:val="003870FD"/>
    <w:rsid w:val="003B5B60"/>
    <w:rsid w:val="003F1851"/>
    <w:rsid w:val="004252D2"/>
    <w:rsid w:val="00474251"/>
    <w:rsid w:val="004A0ABF"/>
    <w:rsid w:val="004E0F11"/>
    <w:rsid w:val="00556DC9"/>
    <w:rsid w:val="00565140"/>
    <w:rsid w:val="00582F8C"/>
    <w:rsid w:val="005B7C79"/>
    <w:rsid w:val="006D226F"/>
    <w:rsid w:val="006E66DD"/>
    <w:rsid w:val="007254D2"/>
    <w:rsid w:val="007B20EB"/>
    <w:rsid w:val="007D4AA1"/>
    <w:rsid w:val="0082315C"/>
    <w:rsid w:val="00861A42"/>
    <w:rsid w:val="008A7CC0"/>
    <w:rsid w:val="008C14EE"/>
    <w:rsid w:val="008E19C6"/>
    <w:rsid w:val="00961802"/>
    <w:rsid w:val="009657E1"/>
    <w:rsid w:val="00997806"/>
    <w:rsid w:val="009F2A81"/>
    <w:rsid w:val="00A31A8F"/>
    <w:rsid w:val="00A51D07"/>
    <w:rsid w:val="00A67022"/>
    <w:rsid w:val="00A86AB7"/>
    <w:rsid w:val="00AD1924"/>
    <w:rsid w:val="00B03969"/>
    <w:rsid w:val="00B076C5"/>
    <w:rsid w:val="00B757C8"/>
    <w:rsid w:val="00BB5A09"/>
    <w:rsid w:val="00C5614A"/>
    <w:rsid w:val="00CC1BB2"/>
    <w:rsid w:val="00D5115F"/>
    <w:rsid w:val="00D71564"/>
    <w:rsid w:val="00D871AD"/>
    <w:rsid w:val="00D90DC4"/>
    <w:rsid w:val="00ED4D81"/>
    <w:rsid w:val="00F116C9"/>
    <w:rsid w:val="00FA285A"/>
    <w:rsid w:val="00FA48B9"/>
    <w:rsid w:val="00FD6CDA"/>
    <w:rsid w:val="16DD74EF"/>
    <w:rsid w:val="65CA3468"/>
    <w:rsid w:val="7C45D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0752"/>
  <w15:chartTrackingRefBased/>
  <w15:docId w15:val="{E50A3596-3BD2-4C90-9E27-8B42F037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wtze">
    <w:name w:val="hwtze"/>
    <w:basedOn w:val="Predvolenpsmoodseku"/>
    <w:rsid w:val="00565140"/>
  </w:style>
  <w:style w:type="character" w:customStyle="1" w:styleId="rynqvb">
    <w:name w:val="rynqvb"/>
    <w:basedOn w:val="Predvolenpsmoodseku"/>
    <w:rsid w:val="00565140"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3F18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18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185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1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185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85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1BB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1BB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1BB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FA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8B9"/>
  </w:style>
  <w:style w:type="paragraph" w:styleId="Pta">
    <w:name w:val="footer"/>
    <w:basedOn w:val="Normlny"/>
    <w:link w:val="PtaChar"/>
    <w:uiPriority w:val="99"/>
    <w:unhideWhenUsed/>
    <w:rsid w:val="00FA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B760CD8AD34E84E75BF24D86326F" ma:contentTypeVersion="4" ma:contentTypeDescription="Create a new document." ma:contentTypeScope="" ma:versionID="ae28fa7d6e2cb51782e24b765fc2836c">
  <xsd:schema xmlns:xsd="http://www.w3.org/2001/XMLSchema" xmlns:xs="http://www.w3.org/2001/XMLSchema" xmlns:p="http://schemas.microsoft.com/office/2006/metadata/properties" xmlns:ns2="fb9628b3-494a-4951-9616-dbb9341e2fa6" xmlns:ns3="f7cc8573-2431-4453-9b10-41ee7971d958" targetNamespace="http://schemas.microsoft.com/office/2006/metadata/properties" ma:root="true" ma:fieldsID="851cb1e106b51fdb424382aca3326669" ns2:_="" ns3:_="">
    <xsd:import namespace="fb9628b3-494a-4951-9616-dbb9341e2fa6"/>
    <xsd:import namespace="f7cc8573-2431-4453-9b10-41ee7971d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628b3-494a-4951-9616-dbb9341e2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c8573-2431-4453-9b10-41ee7971d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DB9E1-DA5D-4B12-A267-5D4613A12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ABE8E-C1E9-4E52-AA94-FBAAD4331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628b3-494a-4951-9616-dbb9341e2fa6"/>
    <ds:schemaRef ds:uri="f7cc8573-2431-4453-9b10-41ee7971d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57F01-0A55-47AF-9C31-AE7CD9F32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7ADB8D-B053-4D3E-8D12-D6396B7B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 Ľubomír Ing.</dc:creator>
  <cp:keywords/>
  <dc:description/>
  <cp:lastModifiedBy>Jamborová Kristína</cp:lastModifiedBy>
  <cp:revision>4</cp:revision>
  <cp:lastPrinted>2023-09-25T09:55:00Z</cp:lastPrinted>
  <dcterms:created xsi:type="dcterms:W3CDTF">2023-09-21T09:55:00Z</dcterms:created>
  <dcterms:modified xsi:type="dcterms:W3CDTF">2023-09-25T09:55:00Z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0x01010031E4B760CD8AD34E84E75BF24D86326F</vt:lpwstr>
  </property>
</Properties>
</file>