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16BD6" w14:textId="57FD07ED" w:rsidR="000B594E" w:rsidRPr="000E33F4" w:rsidRDefault="009B00F2" w:rsidP="000B594E">
      <w:pPr>
        <w:pStyle w:val="Header"/>
        <w:jc w:val="right"/>
        <w:rPr>
          <w:rFonts w:ascii="Cambria" w:hAnsi="Cambria"/>
          <w:b/>
          <w:bCs/>
          <w:i/>
          <w:iCs/>
          <w:sz w:val="22"/>
          <w:szCs w:val="22"/>
        </w:rPr>
      </w:pPr>
      <w:r w:rsidRPr="000E33F4">
        <w:rPr>
          <w:rFonts w:ascii="Cambria" w:hAnsi="Cambria"/>
          <w:b/>
          <w:bCs/>
          <w:i/>
          <w:iCs/>
          <w:sz w:val="22"/>
          <w:szCs w:val="22"/>
        </w:rPr>
        <w:t>Príloha č.</w:t>
      </w:r>
      <w:r w:rsidR="00584A12" w:rsidRPr="000E33F4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="00037020" w:rsidRPr="000E33F4">
        <w:rPr>
          <w:rFonts w:ascii="Cambria" w:hAnsi="Cambria"/>
          <w:b/>
          <w:bCs/>
          <w:i/>
          <w:iCs/>
          <w:sz w:val="22"/>
          <w:szCs w:val="22"/>
        </w:rPr>
        <w:t>5</w:t>
      </w:r>
      <w:r w:rsidRPr="000E33F4">
        <w:rPr>
          <w:rFonts w:ascii="Cambria" w:hAnsi="Cambria"/>
          <w:b/>
          <w:bCs/>
          <w:i/>
          <w:iCs/>
          <w:sz w:val="22"/>
          <w:szCs w:val="22"/>
        </w:rPr>
        <w:t xml:space="preserve"> k </w:t>
      </w:r>
      <w:r w:rsidR="000B594E" w:rsidRPr="000E33F4">
        <w:rPr>
          <w:rFonts w:ascii="Cambria" w:hAnsi="Cambria"/>
          <w:b/>
          <w:bCs/>
          <w:i/>
          <w:iCs/>
          <w:sz w:val="22"/>
          <w:szCs w:val="22"/>
        </w:rPr>
        <w:t>Zmluve č. C-NBS1-000-086-992</w:t>
      </w:r>
    </w:p>
    <w:p w14:paraId="1C647CC3" w14:textId="3AD7779A" w:rsidR="007419DF" w:rsidRPr="000E33F4" w:rsidRDefault="000B594E" w:rsidP="00B42014">
      <w:pPr>
        <w:jc w:val="right"/>
        <w:rPr>
          <w:rFonts w:ascii="Cambria" w:hAnsi="Cambria" w:cs="Arial"/>
          <w:b/>
          <w:sz w:val="22"/>
          <w:szCs w:val="22"/>
        </w:rPr>
      </w:pPr>
      <w:r w:rsidRPr="000E33F4">
        <w:rPr>
          <w:rFonts w:ascii="Cambria" w:hAnsi="Cambria"/>
          <w:b/>
          <w:bCs/>
          <w:i/>
          <w:iCs/>
          <w:sz w:val="22"/>
          <w:szCs w:val="22"/>
        </w:rPr>
        <w:t>o poskytovaní servisných služieb pri zabezpečení prevádzky IS FINU/HRO</w:t>
      </w:r>
    </w:p>
    <w:p w14:paraId="1C04514E" w14:textId="6CAFD155" w:rsidR="009B00F2" w:rsidRPr="000E33F4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FFEAC55" w14:textId="5825F57F" w:rsidR="009B00F2" w:rsidRPr="000E33F4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347E0F4" w14:textId="378DC5FC" w:rsidR="009B00F2" w:rsidRPr="000E33F4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54F12A1D" w14:textId="42E98502" w:rsidR="009B00F2" w:rsidRPr="000E33F4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3A07BD7" w14:textId="0EBB9FFB" w:rsidR="009B00F2" w:rsidRPr="000E33F4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EF50E7D" w14:textId="2A39B4FE" w:rsidR="009B00F2" w:rsidRPr="000E33F4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2E1371D" w14:textId="150C07EA" w:rsidR="009B00F2" w:rsidRPr="000E33F4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9984E37" w14:textId="32FD52EC" w:rsidR="009B00F2" w:rsidRPr="000E33F4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3B62F164" w14:textId="5DD35202" w:rsidR="009B00F2" w:rsidRPr="000E33F4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EFDF7E9" w14:textId="401C6FAD" w:rsidR="009B00F2" w:rsidRPr="000E33F4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DF50502" w14:textId="5BCDEA4D" w:rsidR="009B00F2" w:rsidRPr="000E33F4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5A27E3E" w14:textId="45D1C413" w:rsidR="009B00F2" w:rsidRPr="000E33F4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B5BE58C" w14:textId="2F81DAC4" w:rsidR="009B00F2" w:rsidRPr="000E33F4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3B25FCE" w14:textId="0D122A12" w:rsidR="009B00F2" w:rsidRPr="000E33F4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CE4ABEA" w14:textId="3BA3EC67" w:rsidR="009B00F2" w:rsidRPr="000E33F4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AB0EE55" w14:textId="10B3EE3A" w:rsidR="009B00F2" w:rsidRPr="000E33F4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61C6D526" w14:textId="23EC07D8" w:rsidR="009B00F2" w:rsidRPr="000E33F4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30F5B8AB" w14:textId="5DBA51BC" w:rsidR="009B00F2" w:rsidRPr="000E33F4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558475A" w14:textId="77142E7A" w:rsidR="009B00F2" w:rsidRPr="000E33F4" w:rsidRDefault="009B00F2" w:rsidP="00CC4CF5">
      <w:pPr>
        <w:jc w:val="center"/>
        <w:rPr>
          <w:rFonts w:ascii="Cambria" w:hAnsi="Cambria" w:cs="Arial"/>
          <w:b/>
          <w:sz w:val="22"/>
          <w:szCs w:val="22"/>
        </w:rPr>
      </w:pPr>
      <w:r w:rsidRPr="000E33F4">
        <w:rPr>
          <w:rFonts w:ascii="Cambria" w:hAnsi="Cambria" w:cs="Arial"/>
          <w:b/>
          <w:sz w:val="22"/>
          <w:szCs w:val="22"/>
        </w:rPr>
        <w:t xml:space="preserve">Slovník pojmov </w:t>
      </w:r>
    </w:p>
    <w:p w14:paraId="21CFDE16" w14:textId="3E87A3AC" w:rsidR="009B00F2" w:rsidRPr="000E33F4" w:rsidRDefault="009B00F2" w:rsidP="00560D2E">
      <w:pPr>
        <w:jc w:val="center"/>
        <w:rPr>
          <w:rFonts w:ascii="Cambria" w:hAnsi="Cambria" w:cs="Arial"/>
          <w:b/>
          <w:sz w:val="20"/>
        </w:rPr>
      </w:pPr>
    </w:p>
    <w:p w14:paraId="749EC15E" w14:textId="77777777" w:rsidR="009B00F2" w:rsidRPr="000E33F4" w:rsidRDefault="009B00F2" w:rsidP="00560D2E">
      <w:pPr>
        <w:jc w:val="center"/>
        <w:rPr>
          <w:rFonts w:ascii="Cambria" w:hAnsi="Cambria" w:cs="Arial"/>
          <w:b/>
          <w:sz w:val="20"/>
        </w:rPr>
      </w:pPr>
    </w:p>
    <w:p w14:paraId="05F9A18F" w14:textId="77777777" w:rsidR="009B00F2" w:rsidRPr="000E33F4" w:rsidRDefault="009B00F2" w:rsidP="00CC4CF5">
      <w:pPr>
        <w:jc w:val="center"/>
        <w:rPr>
          <w:rFonts w:ascii="Cambria" w:hAnsi="Cambria" w:cs="Arial"/>
          <w:b/>
          <w:sz w:val="20"/>
        </w:rPr>
        <w:sectPr w:rsidR="009B00F2" w:rsidRPr="000E33F4" w:rsidSect="00C876C7">
          <w:pgSz w:w="12240" w:h="15840"/>
          <w:pgMar w:top="1440" w:right="1800" w:bottom="1440" w:left="1800" w:header="708" w:footer="708" w:gutter="0"/>
          <w:cols w:space="708"/>
          <w:titlePg/>
          <w:docGrid w:linePitch="360"/>
        </w:sectPr>
      </w:pPr>
    </w:p>
    <w:p w14:paraId="7138871D" w14:textId="376A5989" w:rsidR="009B00F2" w:rsidRPr="000E33F4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318F8FB" w14:textId="77777777" w:rsidR="007419DF" w:rsidRPr="000E33F4" w:rsidRDefault="007419DF" w:rsidP="00CC4CF5">
      <w:pPr>
        <w:rPr>
          <w:rFonts w:ascii="Cambria" w:hAnsi="Cambria" w:cs="Arial"/>
          <w:sz w:val="20"/>
        </w:rPr>
      </w:pPr>
    </w:p>
    <w:p w14:paraId="30148A9A" w14:textId="77777777" w:rsidR="007419DF" w:rsidRPr="000E33F4" w:rsidRDefault="007419DF" w:rsidP="00CC4CF5">
      <w:pPr>
        <w:jc w:val="both"/>
        <w:rPr>
          <w:rFonts w:ascii="Cambria" w:hAnsi="Cambria" w:cs="Arial"/>
          <w:sz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0"/>
        <w:gridCol w:w="6760"/>
      </w:tblGrid>
      <w:tr w:rsidR="000E33F4" w:rsidRPr="000E33F4" w14:paraId="3DAC3AC1" w14:textId="77777777" w:rsidTr="00C803C6">
        <w:trPr>
          <w:tblHeader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F16127C" w14:textId="77777777" w:rsidR="007419DF" w:rsidRPr="000E33F4" w:rsidRDefault="007419DF" w:rsidP="00CC4CF5">
            <w:pPr>
              <w:spacing w:before="60" w:after="60"/>
              <w:jc w:val="center"/>
              <w:rPr>
                <w:rFonts w:ascii="Cambria" w:hAnsi="Cambria" w:cs="Arial"/>
                <w:b/>
                <w:sz w:val="20"/>
                <w:lang w:eastAsia="cs-CZ"/>
              </w:rPr>
            </w:pPr>
            <w:r w:rsidRPr="000E33F4">
              <w:rPr>
                <w:rFonts w:ascii="Cambria" w:hAnsi="Cambria" w:cs="Arial"/>
                <w:b/>
                <w:sz w:val="20"/>
              </w:rPr>
              <w:t>Pojem (y) / Výraz / Skratka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CCFDF0A" w14:textId="77777777" w:rsidR="007419DF" w:rsidRPr="000E33F4" w:rsidRDefault="007419DF" w:rsidP="00CC4CF5">
            <w:pPr>
              <w:spacing w:before="60" w:after="60"/>
              <w:jc w:val="center"/>
              <w:rPr>
                <w:rFonts w:ascii="Cambria" w:hAnsi="Cambria" w:cs="Arial"/>
                <w:b/>
                <w:sz w:val="20"/>
                <w:lang w:eastAsia="cs-CZ"/>
              </w:rPr>
            </w:pPr>
            <w:r w:rsidRPr="000E33F4">
              <w:rPr>
                <w:rFonts w:ascii="Cambria" w:hAnsi="Cambria" w:cs="Arial"/>
                <w:b/>
                <w:sz w:val="20"/>
              </w:rPr>
              <w:t>Vysvetlenie Pojmu / Výrazu / Skratky</w:t>
            </w:r>
          </w:p>
        </w:tc>
      </w:tr>
      <w:tr w:rsidR="000E33F4" w:rsidRPr="000E33F4" w14:paraId="4A5F96B8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D9D4" w14:textId="77777777" w:rsidR="007419DF" w:rsidRPr="000E33F4" w:rsidRDefault="007419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Aktualizácie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5A15" w14:textId="538DD722" w:rsidR="007419DF" w:rsidRPr="000E33F4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  <w:lang w:eastAsia="cs-CZ"/>
              </w:rPr>
            </w:pPr>
            <w:r w:rsidRPr="000E33F4">
              <w:rPr>
                <w:rFonts w:ascii="Cambria" w:hAnsi="Cambria" w:cs="Arial"/>
                <w:sz w:val="20"/>
              </w:rPr>
              <w:t xml:space="preserve">zmluvné strany rozumejú zmeny, zdokonalenia alebo zlepšenia dodávaného systému (licencovaných programov), ktoré bude </w:t>
            </w:r>
            <w:r w:rsidR="005D3D99" w:rsidRPr="000E33F4">
              <w:rPr>
                <w:rFonts w:ascii="Cambria" w:hAnsi="Cambria" w:cs="Arial"/>
                <w:sz w:val="20"/>
              </w:rPr>
              <w:t>poskytovateľ poskytovať podľa pokynov výrobcu a po dohode s objednávateľom</w:t>
            </w:r>
            <w:r w:rsidRPr="000E33F4">
              <w:rPr>
                <w:rFonts w:ascii="Cambria" w:hAnsi="Cambria" w:cs="Arial"/>
                <w:sz w:val="20"/>
              </w:rPr>
              <w:t xml:space="preserve"> do dodávaného systému (licencovaných programov) a vytváranie ich častí, namiesto separátnych softvérových programov. Uvedené aktualizácie poskytuje </w:t>
            </w:r>
            <w:r w:rsidR="008C0782" w:rsidRPr="000E33F4">
              <w:rPr>
                <w:rFonts w:ascii="Cambria" w:hAnsi="Cambria" w:cs="Arial"/>
                <w:sz w:val="20"/>
              </w:rPr>
              <w:t>poskytovate</w:t>
            </w:r>
            <w:r w:rsidR="00F611A8" w:rsidRPr="000E33F4">
              <w:rPr>
                <w:rFonts w:ascii="Cambria" w:hAnsi="Cambria" w:cs="Arial"/>
                <w:sz w:val="20"/>
              </w:rPr>
              <w:t>ľ</w:t>
            </w:r>
            <w:r w:rsidRPr="000E33F4">
              <w:rPr>
                <w:rFonts w:ascii="Cambria" w:hAnsi="Cambria" w:cs="Arial"/>
                <w:sz w:val="20"/>
              </w:rPr>
              <w:t xml:space="preserve"> objednávateľovi podľa podmienok tejto zmluvy.</w:t>
            </w:r>
          </w:p>
        </w:tc>
      </w:tr>
      <w:tr w:rsidR="000E33F4" w:rsidRPr="000E33F4" w14:paraId="592D9A8E" w14:textId="77777777" w:rsidTr="00C803C6">
        <w:trPr>
          <w:cantSplit/>
        </w:trPr>
        <w:tc>
          <w:tcPr>
            <w:tcW w:w="2420" w:type="dxa"/>
          </w:tcPr>
          <w:p w14:paraId="5025E86F" w14:textId="77777777" w:rsidR="00FA76BA" w:rsidRPr="000E33F4" w:rsidRDefault="00FA76BA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Aplikačné programové rozhranie (API)</w:t>
            </w:r>
          </w:p>
        </w:tc>
        <w:tc>
          <w:tcPr>
            <w:tcW w:w="6760" w:type="dxa"/>
          </w:tcPr>
          <w:p w14:paraId="5952D120" w14:textId="223907F6" w:rsidR="00FA76BA" w:rsidRPr="000E33F4" w:rsidRDefault="00FA76BA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zmluvné strany rozumejú komponenty, programy, procedúry, funkcie, dátové a iné objekty systému, ktoré ako celok a/alebo jednotlivo zabezpečujú obojsmerný, resp. jednosmerný prenos a spracovanie dát a/alebo správ pre</w:t>
            </w:r>
            <w:r w:rsidR="0087387A" w:rsidRPr="000E33F4">
              <w:rPr>
                <w:rFonts w:ascii="Cambria" w:hAnsi="Cambria" w:cs="Arial"/>
                <w:sz w:val="20"/>
              </w:rPr>
              <w:t xml:space="preserve"> informačný </w:t>
            </w:r>
            <w:r w:rsidRPr="000E33F4">
              <w:rPr>
                <w:rFonts w:ascii="Cambria" w:hAnsi="Cambria" w:cs="Arial"/>
                <w:sz w:val="20"/>
              </w:rPr>
              <w:t>systém  tak, aby bola dosiahnutá jeho funkcionalita podľa dokumentu stanovujúceho celkovú funkcionalitu</w:t>
            </w:r>
            <w:r w:rsidR="0087387A" w:rsidRPr="000E33F4">
              <w:rPr>
                <w:rFonts w:ascii="Cambria" w:hAnsi="Cambria" w:cs="Arial"/>
                <w:sz w:val="20"/>
              </w:rPr>
              <w:t xml:space="preserve"> informačného </w:t>
            </w:r>
            <w:r w:rsidRPr="000E33F4">
              <w:rPr>
                <w:rFonts w:ascii="Cambria" w:hAnsi="Cambria" w:cs="Arial"/>
                <w:sz w:val="20"/>
              </w:rPr>
              <w:t>systému a podľa sprievodnej dokumentácie</w:t>
            </w:r>
            <w:r w:rsidR="0087387A" w:rsidRPr="000E33F4">
              <w:rPr>
                <w:rFonts w:ascii="Cambria" w:hAnsi="Cambria" w:cs="Arial"/>
                <w:sz w:val="20"/>
              </w:rPr>
              <w:t xml:space="preserve"> informačného </w:t>
            </w:r>
            <w:r w:rsidRPr="000E33F4">
              <w:rPr>
                <w:rFonts w:ascii="Cambria" w:hAnsi="Cambria" w:cs="Arial"/>
                <w:sz w:val="20"/>
              </w:rPr>
              <w:t xml:space="preserve">systému </w:t>
            </w:r>
          </w:p>
        </w:tc>
      </w:tr>
      <w:tr w:rsidR="000E33F4" w:rsidRPr="000E33F4" w14:paraId="3E785C99" w14:textId="77777777" w:rsidTr="00732C30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277C" w14:textId="424E10FF" w:rsidR="00B84420" w:rsidRPr="000E33F4" w:rsidRDefault="00B84420" w:rsidP="00732C30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Bezpečnostný incident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89D7" w14:textId="7C1A1C4B" w:rsidR="003A02F0" w:rsidRPr="000E33F4" w:rsidRDefault="000E33F4" w:rsidP="000E33F4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b</w:t>
            </w:r>
            <w:r w:rsidR="003A02F0" w:rsidRPr="000E33F4">
              <w:rPr>
                <w:rFonts w:ascii="Cambria" w:hAnsi="Cambria" w:cs="Arial"/>
                <w:sz w:val="20"/>
              </w:rPr>
              <w:t xml:space="preserve">ezpečnostný incident je akákoľvek udalosť narušenia bezpečnosti služby IT alebo niektorého jej komponentu, ktorej následkom bola </w:t>
            </w:r>
          </w:p>
          <w:p w14:paraId="74E5BA9E" w14:textId="77777777" w:rsidR="003A02F0" w:rsidRPr="000E33F4" w:rsidRDefault="003A02F0" w:rsidP="000E33F4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• strata dôvernosti údajov, únik/zničenie údajov alebo narušenie ich integrity alebo</w:t>
            </w:r>
          </w:p>
          <w:p w14:paraId="2C354479" w14:textId="77777777" w:rsidR="003A02F0" w:rsidRPr="000E33F4" w:rsidRDefault="003A02F0" w:rsidP="000E33F4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• obmedzenie alebo odmietnutie dostupnosti služby IT alebo</w:t>
            </w:r>
          </w:p>
          <w:p w14:paraId="1290A037" w14:textId="77777777" w:rsidR="003A02F0" w:rsidRPr="000E33F4" w:rsidRDefault="003A02F0" w:rsidP="000E33F4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• narušenie bezpečnostných mechanizmov alebo</w:t>
            </w:r>
          </w:p>
          <w:p w14:paraId="27608FC6" w14:textId="515F11AE" w:rsidR="003A02F0" w:rsidRPr="000E33F4" w:rsidRDefault="003A02F0" w:rsidP="000E33F4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• poškodenie mena NBS</w:t>
            </w:r>
          </w:p>
        </w:tc>
      </w:tr>
      <w:tr w:rsidR="000E33F4" w:rsidRPr="000E33F4" w14:paraId="0497AE9D" w14:textId="77777777" w:rsidTr="00732C30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6DB8" w14:textId="6872B99E" w:rsidR="003A02F0" w:rsidRPr="000E33F4" w:rsidRDefault="003A02F0" w:rsidP="00732C30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sz w:val="20"/>
              </w:rPr>
              <w:t>Bezpečnostná hrozba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FB0B" w14:textId="10BC6182" w:rsidR="003A02F0" w:rsidRPr="000E33F4" w:rsidDel="003A02F0" w:rsidRDefault="000E33F4" w:rsidP="000E33F4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b</w:t>
            </w:r>
            <w:r w:rsidR="003A02F0" w:rsidRPr="000E33F4">
              <w:rPr>
                <w:rFonts w:ascii="Cambria" w:hAnsi="Cambria" w:cs="Arial"/>
                <w:sz w:val="20"/>
              </w:rPr>
              <w:t>ezpečnostná hrozba je zverejnená/nahlásená/detegovaná bezpečnostná zraniteľnosť alebo varovanie, ktoré sa týka služby IT alebo niektorého jej komponentu</w:t>
            </w:r>
          </w:p>
        </w:tc>
      </w:tr>
      <w:tr w:rsidR="000E33F4" w:rsidRPr="000E33F4" w14:paraId="53DF02A0" w14:textId="77777777" w:rsidTr="00732C30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1798" w14:textId="6ED9CC23" w:rsidR="003A02F0" w:rsidRPr="000E33F4" w:rsidRDefault="003A02F0" w:rsidP="00732C30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sz w:val="20"/>
              </w:rPr>
              <w:t>Podozrivá udalosť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E654" w14:textId="25F5803C" w:rsidR="003A02F0" w:rsidRPr="000E33F4" w:rsidDel="003A02F0" w:rsidRDefault="000E33F4" w:rsidP="000E33F4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p</w:t>
            </w:r>
            <w:r w:rsidR="003A02F0" w:rsidRPr="000E33F4">
              <w:rPr>
                <w:rFonts w:ascii="Cambria" w:hAnsi="Cambria" w:cs="Arial"/>
                <w:sz w:val="20"/>
              </w:rPr>
              <w:t>odozrivá udalosť, ktorá sa týka služby IT alebo niektorého jej komponentu, je anomália, neštandardné správanie, podozrivá aktivita, identifikovaný neúspešný pokus o narušenie bezpečnosti, opakované neúspešné/úspešné pokusy o komunikáciu s podozrivými IP adresami, využívanie neštandardných portov, použitie nepovolených služieb (vzdialený prístup, anonymizačné služby, ťažba kryptomien, a pod.), atď.</w:t>
            </w:r>
          </w:p>
        </w:tc>
      </w:tr>
      <w:tr w:rsidR="000E33F4" w:rsidRPr="000E33F4" w14:paraId="2FFCDDDD" w14:textId="77777777" w:rsidTr="00C803C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2420" w:type="dxa"/>
          </w:tcPr>
          <w:p w14:paraId="42B19EB4" w14:textId="77777777" w:rsidR="00FA76BA" w:rsidRPr="000E33F4" w:rsidRDefault="00FA76BA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 xml:space="preserve">Definovaný používateľ </w:t>
            </w:r>
          </w:p>
        </w:tc>
        <w:tc>
          <w:tcPr>
            <w:tcW w:w="6760" w:type="dxa"/>
          </w:tcPr>
          <w:p w14:paraId="40DB168C" w14:textId="078989F7" w:rsidR="0014590E" w:rsidRPr="000E33F4" w:rsidRDefault="00DA0F2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o</w:t>
            </w:r>
            <w:r w:rsidR="00FA76BA" w:rsidRPr="000E33F4">
              <w:rPr>
                <w:rFonts w:ascii="Cambria" w:hAnsi="Cambria" w:cs="Arial"/>
                <w:sz w:val="20"/>
              </w:rPr>
              <w:t xml:space="preserve">soba, ktorá má priamy alebo nepriamy prístup k Systému. Taktiež používatelia technických systémov umožňujúcich nepriamy prístup k Systému, ako aj technický systém sám, musia byť definovaní ako definovaní používatelia v zmysle tejto Zmluvy. Každá takáto osoba musí mať od objednávateľa pridelený identifikačný názov, pod ktorým je jeho prístup umožnený. Definovanými používateľmi môžu byť iba zamestnanci objednávateľa či zamestnanci právnych subjektov, s ktorými je objednávateľ v obchodnom styku. </w:t>
            </w:r>
          </w:p>
        </w:tc>
      </w:tr>
      <w:tr w:rsidR="000E33F4" w:rsidRPr="000E33F4" w14:paraId="43ACDF4F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3B6F" w14:textId="77777777" w:rsidR="00F611A8" w:rsidRPr="000E33F4" w:rsidRDefault="00F611A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Doba odozvy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C421" w14:textId="77777777" w:rsidR="00F611A8" w:rsidRPr="000E33F4" w:rsidRDefault="00F611A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rozumie sa časové obdobie, počas ktorého je zhotoviteľ povinný začať vykonávať príslušnú činnosť od nahlásenia požiadavky objednávateľa na jej vykonanie.</w:t>
            </w:r>
          </w:p>
        </w:tc>
      </w:tr>
      <w:tr w:rsidR="000E33F4" w:rsidRPr="000E33F4" w14:paraId="04C7E2BE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B1D0" w14:textId="77777777" w:rsidR="007419DF" w:rsidRPr="000E33F4" w:rsidRDefault="007419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Dodať podľa tejto zmluvy, Odovzdať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69C8" w14:textId="1A926C2D" w:rsidR="007419DF" w:rsidRPr="000E33F4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 xml:space="preserve">zmluvné strany rozumejú dodanie dodávky, uvedenej v popise predmetu zmluvy a záväzkoch </w:t>
            </w:r>
            <w:r w:rsidR="008C0782" w:rsidRPr="000E33F4">
              <w:rPr>
                <w:rFonts w:ascii="Cambria" w:hAnsi="Cambria" w:cs="Arial"/>
                <w:sz w:val="20"/>
              </w:rPr>
              <w:t>poskytovate</w:t>
            </w:r>
            <w:r w:rsidR="00F611A8" w:rsidRPr="000E33F4">
              <w:rPr>
                <w:rFonts w:ascii="Cambria" w:hAnsi="Cambria" w:cs="Arial"/>
                <w:sz w:val="20"/>
              </w:rPr>
              <w:t>ľ</w:t>
            </w:r>
            <w:r w:rsidRPr="000E33F4">
              <w:rPr>
                <w:rFonts w:ascii="Cambria" w:hAnsi="Cambria" w:cs="Arial"/>
                <w:sz w:val="20"/>
              </w:rPr>
              <w:t xml:space="preserve">a v tejto zmluve </w:t>
            </w:r>
            <w:r w:rsidR="008C0782" w:rsidRPr="000E33F4">
              <w:rPr>
                <w:rFonts w:ascii="Cambria" w:hAnsi="Cambria" w:cs="Arial"/>
                <w:sz w:val="20"/>
              </w:rPr>
              <w:t>poskytovate</w:t>
            </w:r>
            <w:r w:rsidR="00F611A8" w:rsidRPr="000E33F4">
              <w:rPr>
                <w:rFonts w:ascii="Cambria" w:hAnsi="Cambria" w:cs="Arial"/>
                <w:sz w:val="20"/>
              </w:rPr>
              <w:t>ľ</w:t>
            </w:r>
            <w:r w:rsidRPr="000E33F4">
              <w:rPr>
                <w:rFonts w:ascii="Cambria" w:hAnsi="Cambria" w:cs="Arial"/>
                <w:sz w:val="20"/>
              </w:rPr>
              <w:t xml:space="preserve">om objednávateľovi podľa zmluvných podmienok, záväzkov, štandardov, postupov a oprávnení uvedených v tejto zmluve. Táto skutočnosť musí byť písomne potvrdená </w:t>
            </w:r>
            <w:r w:rsidR="008C0782" w:rsidRPr="000E33F4">
              <w:rPr>
                <w:rFonts w:ascii="Cambria" w:hAnsi="Cambria" w:cs="Arial"/>
                <w:sz w:val="20"/>
              </w:rPr>
              <w:t>poskytovate</w:t>
            </w:r>
            <w:r w:rsidR="00F611A8" w:rsidRPr="000E33F4">
              <w:rPr>
                <w:rFonts w:ascii="Cambria" w:hAnsi="Cambria" w:cs="Arial"/>
                <w:sz w:val="20"/>
              </w:rPr>
              <w:t>ľ</w:t>
            </w:r>
            <w:r w:rsidRPr="000E33F4">
              <w:rPr>
                <w:rFonts w:ascii="Cambria" w:hAnsi="Cambria" w:cs="Arial"/>
                <w:sz w:val="20"/>
              </w:rPr>
              <w:t>om a objednávateľom v príslušnom protokole.</w:t>
            </w:r>
          </w:p>
        </w:tc>
      </w:tr>
      <w:tr w:rsidR="000E33F4" w:rsidRPr="000E33F4" w14:paraId="078A80EC" w14:textId="77777777" w:rsidTr="00C803C6">
        <w:trPr>
          <w:cantSplit/>
        </w:trPr>
        <w:tc>
          <w:tcPr>
            <w:tcW w:w="2420" w:type="dxa"/>
          </w:tcPr>
          <w:p w14:paraId="035258A3" w14:textId="0EEC60AE" w:rsidR="00AB7DF6" w:rsidRPr="000E33F4" w:rsidRDefault="0087387A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I</w:t>
            </w:r>
            <w:r w:rsidR="009F6C11" w:rsidRPr="000E33F4">
              <w:rPr>
                <w:rFonts w:ascii="Cambria" w:hAnsi="Cambria" w:cs="Arial"/>
                <w:b/>
                <w:bCs/>
                <w:sz w:val="20"/>
              </w:rPr>
              <w:t xml:space="preserve">nformačný </w:t>
            </w:r>
            <w:r w:rsidR="00AB7DF6" w:rsidRPr="000E33F4">
              <w:rPr>
                <w:rFonts w:ascii="Cambria" w:hAnsi="Cambria" w:cs="Arial"/>
                <w:b/>
                <w:bCs/>
                <w:sz w:val="20"/>
              </w:rPr>
              <w:t xml:space="preserve">systém </w:t>
            </w:r>
          </w:p>
        </w:tc>
        <w:tc>
          <w:tcPr>
            <w:tcW w:w="6760" w:type="dxa"/>
          </w:tcPr>
          <w:p w14:paraId="091F0EE1" w14:textId="5E11793A" w:rsidR="00AB7DF6" w:rsidRPr="000E33F4" w:rsidRDefault="00F56BE2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 xml:space="preserve">informačný </w:t>
            </w:r>
            <w:r w:rsidR="00AB7DF6" w:rsidRPr="000E33F4">
              <w:rPr>
                <w:rFonts w:ascii="Cambria" w:hAnsi="Cambria" w:cs="Arial"/>
                <w:sz w:val="20"/>
              </w:rPr>
              <w:t xml:space="preserve">systém znamená informačný systém </w:t>
            </w:r>
            <w:r w:rsidR="0087387A" w:rsidRPr="000E33F4">
              <w:rPr>
                <w:rFonts w:ascii="Cambria" w:hAnsi="Cambria" w:cs="Arial"/>
                <w:sz w:val="20"/>
              </w:rPr>
              <w:t>FINU/HRO</w:t>
            </w:r>
          </w:p>
        </w:tc>
      </w:tr>
      <w:tr w:rsidR="000E33F4" w:rsidRPr="000E33F4" w14:paraId="68A0A811" w14:textId="77777777" w:rsidTr="00C803C6">
        <w:trPr>
          <w:cantSplit/>
        </w:trPr>
        <w:tc>
          <w:tcPr>
            <w:tcW w:w="2420" w:type="dxa"/>
          </w:tcPr>
          <w:p w14:paraId="67808429" w14:textId="77777777" w:rsidR="00393188" w:rsidRPr="000E33F4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Dostupnosť služby</w:t>
            </w:r>
          </w:p>
        </w:tc>
        <w:tc>
          <w:tcPr>
            <w:tcW w:w="6760" w:type="dxa"/>
          </w:tcPr>
          <w:p w14:paraId="485B10CF" w14:textId="0CBAF422" w:rsidR="00393188" w:rsidRPr="000E33F4" w:rsidRDefault="00DA0F2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č</w:t>
            </w:r>
            <w:r w:rsidR="00393188" w:rsidRPr="000E33F4">
              <w:rPr>
                <w:rFonts w:ascii="Cambria" w:hAnsi="Cambria" w:cs="Arial"/>
                <w:sz w:val="20"/>
              </w:rPr>
              <w:t xml:space="preserve">as, kedy je služba </w:t>
            </w:r>
            <w:r w:rsidR="008C0782" w:rsidRPr="000E33F4">
              <w:rPr>
                <w:rFonts w:ascii="Cambria" w:hAnsi="Cambria" w:cs="Arial"/>
                <w:sz w:val="20"/>
              </w:rPr>
              <w:t>poskytovate</w:t>
            </w:r>
            <w:r w:rsidR="00393188" w:rsidRPr="000E33F4">
              <w:rPr>
                <w:rFonts w:ascii="Cambria" w:hAnsi="Cambria" w:cs="Arial"/>
                <w:sz w:val="20"/>
              </w:rPr>
              <w:t>ľom poskytovaná objednávateľovi.</w:t>
            </w:r>
          </w:p>
        </w:tc>
      </w:tr>
      <w:tr w:rsidR="000E33F4" w:rsidRPr="000E33F4" w14:paraId="749553EF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9054" w14:textId="77777777" w:rsidR="00393188" w:rsidRPr="000E33F4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lastRenderedPageBreak/>
              <w:t>Dôverná informácia druhej strany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E5E4" w14:textId="4FF0C818" w:rsidR="00393188" w:rsidRPr="000E33F4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 xml:space="preserve">zmluvné strany rozumejú každý dokument, materiál, myšlienku, údaje alebo iné informácie vzťahujúce sa k výskumu a vývoju, obchodným tajomstvám, bankovým a služobným tajomstvám alebo obchodným záležitostiam </w:t>
            </w:r>
            <w:r w:rsidR="008C0782" w:rsidRPr="000E33F4">
              <w:rPr>
                <w:rFonts w:ascii="Cambria" w:hAnsi="Cambria" w:cs="Arial"/>
                <w:sz w:val="20"/>
              </w:rPr>
              <w:t>poskytovate</w:t>
            </w:r>
            <w:r w:rsidRPr="000E33F4">
              <w:rPr>
                <w:rFonts w:ascii="Cambria" w:hAnsi="Cambria" w:cs="Arial"/>
                <w:sz w:val="20"/>
              </w:rPr>
              <w:t>ľa alebo objednávateľa alebo sú označené ako dôverné, a ktorejkoľvek zo strán dané druhou stranou iba pre účely tejto zmluvy.</w:t>
            </w:r>
          </w:p>
        </w:tc>
      </w:tr>
      <w:tr w:rsidR="000E33F4" w:rsidRPr="000E33F4" w14:paraId="123AA0E6" w14:textId="77777777" w:rsidTr="00C803C6">
        <w:trPr>
          <w:cantSplit/>
        </w:trPr>
        <w:tc>
          <w:tcPr>
            <w:tcW w:w="2420" w:type="dxa"/>
          </w:tcPr>
          <w:p w14:paraId="3A5F6496" w14:textId="77777777" w:rsidR="00393188" w:rsidRPr="000E33F4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Chyba, nedostatok</w:t>
            </w:r>
          </w:p>
        </w:tc>
        <w:tc>
          <w:tcPr>
            <w:tcW w:w="6760" w:type="dxa"/>
          </w:tcPr>
          <w:p w14:paraId="78A2A255" w14:textId="105CD6C1" w:rsidR="00393188" w:rsidRPr="000E33F4" w:rsidRDefault="00974D4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c</w:t>
            </w:r>
            <w:r w:rsidR="00393188" w:rsidRPr="000E33F4">
              <w:rPr>
                <w:rFonts w:ascii="Cambria" w:hAnsi="Cambria" w:cs="Arial"/>
                <w:sz w:val="20"/>
              </w:rPr>
              <w:t>hybu a/alebo nedostatok predstavuje akékoľvek nesplnenie požiadaviek na</w:t>
            </w:r>
            <w:r w:rsidR="0087387A" w:rsidRPr="000E33F4">
              <w:rPr>
                <w:rFonts w:ascii="Cambria" w:hAnsi="Cambria" w:cs="Arial"/>
                <w:sz w:val="20"/>
              </w:rPr>
              <w:t xml:space="preserve"> informačný </w:t>
            </w:r>
            <w:r w:rsidR="00393188" w:rsidRPr="000E33F4">
              <w:rPr>
                <w:rFonts w:ascii="Cambria" w:hAnsi="Cambria" w:cs="Arial"/>
                <w:sz w:val="20"/>
              </w:rPr>
              <w:t>systém, nesplnenie stanovených štandardov, neschválené odchýlky od stanovenej funkcionality</w:t>
            </w:r>
            <w:r w:rsidR="0087387A" w:rsidRPr="000E33F4">
              <w:rPr>
                <w:rFonts w:ascii="Cambria" w:hAnsi="Cambria" w:cs="Arial"/>
                <w:sz w:val="20"/>
              </w:rPr>
              <w:t xml:space="preserve"> informačného </w:t>
            </w:r>
            <w:r w:rsidR="00393188" w:rsidRPr="000E33F4">
              <w:rPr>
                <w:rFonts w:ascii="Cambria" w:hAnsi="Cambria" w:cs="Arial"/>
                <w:sz w:val="20"/>
              </w:rPr>
              <w:t>systému alebo úprav</w:t>
            </w:r>
            <w:r w:rsidR="0087387A" w:rsidRPr="000E33F4">
              <w:rPr>
                <w:rFonts w:ascii="Cambria" w:hAnsi="Cambria" w:cs="Arial"/>
                <w:sz w:val="20"/>
              </w:rPr>
              <w:t xml:space="preserve"> informačného </w:t>
            </w:r>
            <w:r w:rsidR="00393188" w:rsidRPr="000E33F4">
              <w:rPr>
                <w:rFonts w:ascii="Cambria" w:hAnsi="Cambria" w:cs="Arial"/>
                <w:sz w:val="20"/>
              </w:rPr>
              <w:t>systému, nedodržanie postupov stanovených pre analýzu, návrh, implementovanie, testovanie a spracovanie dokumentácie úprav</w:t>
            </w:r>
            <w:r w:rsidR="0087387A" w:rsidRPr="000E33F4">
              <w:rPr>
                <w:rFonts w:ascii="Cambria" w:hAnsi="Cambria" w:cs="Arial"/>
                <w:sz w:val="20"/>
              </w:rPr>
              <w:t xml:space="preserve"> informačného </w:t>
            </w:r>
            <w:r w:rsidR="00393188" w:rsidRPr="000E33F4">
              <w:rPr>
                <w:rFonts w:ascii="Cambria" w:hAnsi="Cambria" w:cs="Arial"/>
                <w:sz w:val="20"/>
              </w:rPr>
              <w:t>systému a používanie iných ako stanovených softvérových nástrojov. Nedostatok predstavuje aj nevykonávanie alebo iba čiastočné vykonávanie funkcií komponentov, modulov, objektov a programov špecifikovaných v sprievodnej dokumentácií</w:t>
            </w:r>
            <w:r w:rsidR="0087387A" w:rsidRPr="000E33F4">
              <w:rPr>
                <w:rFonts w:ascii="Cambria" w:hAnsi="Cambria" w:cs="Arial"/>
                <w:sz w:val="20"/>
              </w:rPr>
              <w:t xml:space="preserve"> informačného </w:t>
            </w:r>
            <w:r w:rsidR="00393188" w:rsidRPr="000E33F4">
              <w:rPr>
                <w:rFonts w:ascii="Cambria" w:hAnsi="Cambria" w:cs="Arial"/>
                <w:sz w:val="20"/>
              </w:rPr>
              <w:t>systému.</w:t>
            </w:r>
          </w:p>
        </w:tc>
      </w:tr>
      <w:tr w:rsidR="000E33F4" w:rsidRPr="000E33F4" w14:paraId="06437582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6182" w14:textId="1D6CACE9" w:rsidR="00393188" w:rsidRPr="000E33F4" w:rsidRDefault="00DA200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Prevádzkový i</w:t>
            </w:r>
            <w:r w:rsidR="00393188" w:rsidRPr="000E33F4">
              <w:rPr>
                <w:rFonts w:ascii="Cambria" w:hAnsi="Cambria" w:cs="Arial"/>
                <w:b/>
                <w:bCs/>
                <w:sz w:val="20"/>
              </w:rPr>
              <w:t>ncident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9CC7" w14:textId="77777777" w:rsidR="00393188" w:rsidRPr="000E33F4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každá udalosť, ktorá nie je štandardnou funkčnosťou dodávaného systému, infraštruktúry dodávaného systému alebo prevádzky osobných počítačov používateľov dodávaného systému a môže spôsobiť alebo spôsobila výpadok alebo zníženie funkcionality a výkonnostných parametrov dodávaného systému, infraštruktúry dodávaného systému alebo prevádzky osobných počítačov používateľov dodávaného systému,</w:t>
            </w:r>
          </w:p>
        </w:tc>
      </w:tr>
      <w:tr w:rsidR="000E33F4" w:rsidRPr="000E33F4" w14:paraId="57720331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1A70" w14:textId="6489AB88" w:rsidR="003A02F0" w:rsidRPr="000E33F4" w:rsidRDefault="003A02F0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sz w:val="20"/>
              </w:rPr>
              <w:t xml:space="preserve">Zásadný </w:t>
            </w:r>
            <w:r w:rsidR="00DA200F">
              <w:rPr>
                <w:rFonts w:ascii="Cambria" w:hAnsi="Cambria" w:cs="Arial"/>
                <w:b/>
                <w:sz w:val="20"/>
              </w:rPr>
              <w:t xml:space="preserve">prevádzkový </w:t>
            </w:r>
            <w:r w:rsidRPr="000E33F4">
              <w:rPr>
                <w:rFonts w:ascii="Cambria" w:hAnsi="Cambria" w:cs="Arial"/>
                <w:b/>
                <w:sz w:val="20"/>
              </w:rPr>
              <w:t>incident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8152" w14:textId="564546A0" w:rsidR="003A02F0" w:rsidRPr="000E33F4" w:rsidRDefault="000E33F4" w:rsidP="003A02F0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d</w:t>
            </w:r>
            <w:r w:rsidR="003A02F0" w:rsidRPr="000E33F4">
              <w:rPr>
                <w:rFonts w:ascii="Cambria" w:hAnsi="Cambria" w:cs="Arial"/>
                <w:sz w:val="20"/>
              </w:rPr>
              <w:t>o tejto klasifikácie spadajú všetky incidenty spojené s používaním a prevádzkou dodaného systému a oznámené dodávateľovi objednávateľom, u ktorých sa riešením incidentu zistí, že je spôsobený vážnou chybou, vadou alebo nedostatkom dodaného systému a táto chyba a/alebo vada a/alebo nedostatok bráni jeho používaniu v prevádzke nasledovne:</w:t>
            </w:r>
          </w:p>
          <w:p w14:paraId="20C610AA" w14:textId="77777777" w:rsidR="003A02F0" w:rsidRPr="000E33F4" w:rsidRDefault="003A02F0" w:rsidP="003A02F0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 xml:space="preserve">1. Aplikačné funkcie dodaného systému nie sú funkčné ako celok, alebo ide o takú chybu alebo nedostatok dodaného systému, ktorý neumožní úspešne dokončiť obchodný deň v dodanom systéme, alebo </w:t>
            </w:r>
          </w:p>
          <w:p w14:paraId="697A167B" w14:textId="77777777" w:rsidR="003A02F0" w:rsidRPr="000E33F4" w:rsidRDefault="003A02F0" w:rsidP="003A02F0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2. Aplikačné funkcie dodaného systému, prostredníctvom ktorých sa realizujú časovo závislé obchodné prípady súvisiace najmä s hotovostnými, majetkovými prevodmi a účtovnými procedúrami, nie sú funkčné, alebo</w:t>
            </w:r>
          </w:p>
          <w:p w14:paraId="0999417D" w14:textId="3B98F7DE" w:rsidR="003A02F0" w:rsidRPr="000E33F4" w:rsidRDefault="003A02F0" w:rsidP="00E03986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3. Aplikačné funkcie dodaného systému, ktoré majú priamy dopad na zostavenie dennej bilancie NBS, nie sú funkčné.</w:t>
            </w:r>
          </w:p>
        </w:tc>
      </w:tr>
      <w:tr w:rsidR="000E33F4" w:rsidRPr="000E33F4" w14:paraId="1FA0FD38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1EAB" w14:textId="23D283B2" w:rsidR="003A02F0" w:rsidRPr="000E33F4" w:rsidRDefault="003A02F0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sz w:val="20"/>
              </w:rPr>
              <w:t xml:space="preserve">Závažný </w:t>
            </w:r>
            <w:r w:rsidR="00DA200F">
              <w:rPr>
                <w:rFonts w:ascii="Cambria" w:hAnsi="Cambria" w:cs="Arial"/>
                <w:b/>
                <w:sz w:val="20"/>
              </w:rPr>
              <w:t xml:space="preserve">prevádzkový </w:t>
            </w:r>
            <w:r w:rsidRPr="000E33F4">
              <w:rPr>
                <w:rFonts w:ascii="Cambria" w:hAnsi="Cambria" w:cs="Arial"/>
                <w:b/>
                <w:sz w:val="20"/>
              </w:rPr>
              <w:t>incident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E8D6" w14:textId="3AB3573F" w:rsidR="003A02F0" w:rsidRPr="000E33F4" w:rsidRDefault="000E33F4" w:rsidP="003A02F0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d</w:t>
            </w:r>
            <w:r w:rsidR="003A02F0" w:rsidRPr="000E33F4">
              <w:rPr>
                <w:rFonts w:ascii="Cambria" w:hAnsi="Cambria" w:cs="Arial"/>
                <w:sz w:val="20"/>
              </w:rPr>
              <w:t>o tejto klasifikácie spadajú všetky incidenty spojené s používaním a prevádzkou dodaného systému a oznámené dodávateľovi objednávateľom, u ktorých sa riešením incidentu zistí, že je spôsobený chybou, vadou alebo nedostatkom dodaného systému a táto chyba a/alebo vada a/alebo nedostatok bráni jeho používaniu v prevádzke nasledovne:</w:t>
            </w:r>
          </w:p>
          <w:p w14:paraId="6F4D135C" w14:textId="77777777" w:rsidR="003A02F0" w:rsidRPr="000E33F4" w:rsidRDefault="003A02F0" w:rsidP="003A02F0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1. Aplikačné funkcie dodaného systému neuvedené v klasifikácií Zásadného incidentu dodaného systému nie sú funkčné, alebo</w:t>
            </w:r>
          </w:p>
          <w:p w14:paraId="37B46C06" w14:textId="77C6042E" w:rsidR="003A02F0" w:rsidRPr="000E33F4" w:rsidRDefault="003A02F0" w:rsidP="00E03986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2. Aplikačné funkcie dodaného systému neumožňujú vykonanie činnosti a/alebo vytvorenie výstupov, ktoré objednávateľ potrebuje na splnenie svojich záväzkov voči externým subjektom.</w:t>
            </w:r>
          </w:p>
        </w:tc>
      </w:tr>
      <w:tr w:rsidR="000E33F4" w:rsidRPr="000E33F4" w14:paraId="641DCE63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3A59" w14:textId="0D8108FD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sz w:val="20"/>
              </w:rPr>
              <w:t xml:space="preserve">Nepodstatný </w:t>
            </w:r>
            <w:r w:rsidR="00DA200F">
              <w:rPr>
                <w:rFonts w:ascii="Cambria" w:hAnsi="Cambria" w:cs="Arial"/>
                <w:b/>
                <w:sz w:val="20"/>
              </w:rPr>
              <w:t xml:space="preserve">prevádzkový </w:t>
            </w:r>
            <w:r w:rsidRPr="000E33F4">
              <w:rPr>
                <w:rFonts w:ascii="Cambria" w:hAnsi="Cambria" w:cs="Arial"/>
                <w:b/>
                <w:sz w:val="20"/>
              </w:rPr>
              <w:t>incident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3BF3" w14:textId="0D26CDAD" w:rsidR="000F7327" w:rsidRPr="000E33F4" w:rsidRDefault="000E33F4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d</w:t>
            </w:r>
            <w:r w:rsidR="000F7327" w:rsidRPr="000E33F4">
              <w:rPr>
                <w:rFonts w:ascii="Cambria" w:hAnsi="Cambria" w:cs="Arial"/>
                <w:sz w:val="20"/>
              </w:rPr>
              <w:t>o tejto klasifikácie spadajú všetky incidenty spojené s používaním a prevádzkou dodaného systému a oznámené dodávateľovi objednávateľom, ktoré nie sú klasifikované ako závažné alebo zásadné incidenty. Incidenty tejto klasifikácie, ktoré čiastočne obmedzujú používanie dodaného systému si môžu vyžiadať jeho úpravy v malom rozsahu (3 osobodní) podľa požiadavky objednávateľa.</w:t>
            </w:r>
          </w:p>
        </w:tc>
      </w:tr>
      <w:tr w:rsidR="000E33F4" w:rsidRPr="000E33F4" w14:paraId="2641EE0C" w14:textId="77777777" w:rsidTr="00C803C6">
        <w:trPr>
          <w:cantSplit/>
        </w:trPr>
        <w:tc>
          <w:tcPr>
            <w:tcW w:w="2420" w:type="dxa"/>
          </w:tcPr>
          <w:p w14:paraId="5E4E2ED2" w14:textId="4981F6D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sz w:val="20"/>
              </w:rPr>
              <w:lastRenderedPageBreak/>
              <w:t xml:space="preserve">Iný </w:t>
            </w:r>
            <w:r w:rsidR="00DA200F">
              <w:rPr>
                <w:rFonts w:ascii="Cambria" w:hAnsi="Cambria" w:cs="Arial"/>
                <w:b/>
                <w:sz w:val="20"/>
              </w:rPr>
              <w:t xml:space="preserve">prevádzkový </w:t>
            </w:r>
            <w:r w:rsidRPr="000E33F4">
              <w:rPr>
                <w:rFonts w:ascii="Cambria" w:hAnsi="Cambria" w:cs="Arial"/>
                <w:b/>
                <w:sz w:val="20"/>
              </w:rPr>
              <w:t>incident</w:t>
            </w:r>
          </w:p>
        </w:tc>
        <w:tc>
          <w:tcPr>
            <w:tcW w:w="6760" w:type="dxa"/>
          </w:tcPr>
          <w:p w14:paraId="62F415B4" w14:textId="24AD2BC2" w:rsidR="000F7327" w:rsidRPr="000E33F4" w:rsidRDefault="000E33F4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d</w:t>
            </w:r>
            <w:r w:rsidR="000F7327" w:rsidRPr="000E33F4">
              <w:rPr>
                <w:rFonts w:ascii="Cambria" w:hAnsi="Cambria" w:cs="Arial"/>
                <w:sz w:val="20"/>
              </w:rPr>
              <w:t>o tejto klasifikácie spadajú všetky incidenty spojené s používaním a prevádzkou dodaného systému a oznámené dodávateľovi objednávateľom, u ktorých sa riešením incidentu zistí, že nie je spôsobený chybou, vadou alebo nedostatkom dodaného systému, avšak incident je spôsobený nejasnosťami pri používaní dodaného systému v prevádzke a vyžaduje si:</w:t>
            </w:r>
          </w:p>
          <w:p w14:paraId="48F18FBA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1. Poskytnutie rady k nejasnostiam týkajúcim sa používania dodaného systému</w:t>
            </w:r>
          </w:p>
          <w:p w14:paraId="78671949" w14:textId="0787B265" w:rsidR="000F7327" w:rsidRPr="000E33F4" w:rsidRDefault="000F7327" w:rsidP="00E03986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2. Poskytnutie konzultácie týkajúcej sa používania dodaného systému.</w:t>
            </w:r>
          </w:p>
        </w:tc>
      </w:tr>
      <w:tr w:rsidR="000E33F4" w:rsidRPr="000E33F4" w14:paraId="497FBDA4" w14:textId="77777777" w:rsidTr="00C803C6">
        <w:trPr>
          <w:cantSplit/>
        </w:trPr>
        <w:tc>
          <w:tcPr>
            <w:tcW w:w="2420" w:type="dxa"/>
          </w:tcPr>
          <w:p w14:paraId="64FFAF67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Inštalácia</w:t>
            </w:r>
          </w:p>
        </w:tc>
        <w:tc>
          <w:tcPr>
            <w:tcW w:w="6760" w:type="dxa"/>
          </w:tcPr>
          <w:p w14:paraId="3FF8DE95" w14:textId="01CA9FE3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zmluvné strany rozumejú inštaláciu všetkých komponentov, programov a dát informačného systému v databázovej a aplikačnej vrstve informačného systému. Táto inštalácia môže byť vykonaná na testovacom prostredí a/alebo v produkčnom prostredí u objednávateľa.</w:t>
            </w:r>
          </w:p>
        </w:tc>
      </w:tr>
      <w:tr w:rsidR="000E33F4" w:rsidRPr="000E33F4" w14:paraId="21D8C306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094E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IT zariadenie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CF2E" w14:textId="77777777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technologické zariadenie, ktoré je súčasťou IT infraštruktúry NBS a zabezpečuje aplikačné alebo komunikačné funkcie pre informačné systémy prevádzkované v NBS napr. zariadenia výpočtovej techniky ako servery, aktívne prvky sietí, elektronické komunikačné systémy, virtuálne systémy a podobne vrátane operačného systému alebo softvéru zabezpečujúceho funkčnosť IT zariadenia (napr. firmware).</w:t>
            </w:r>
          </w:p>
        </w:tc>
      </w:tr>
      <w:tr w:rsidR="000E33F4" w:rsidRPr="000E33F4" w14:paraId="2F388D70" w14:textId="77777777" w:rsidTr="00C803C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2420" w:type="dxa"/>
          </w:tcPr>
          <w:p w14:paraId="13BE7035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IS, informačný systém</w:t>
            </w:r>
          </w:p>
        </w:tc>
        <w:tc>
          <w:tcPr>
            <w:tcW w:w="6760" w:type="dxa"/>
          </w:tcPr>
          <w:p w14:paraId="0BE36F7C" w14:textId="5D0D42B8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kompaktný programový produkt, pomocou ktorého sa na prostriedkoch výpočtovej techniky s nosičmi údajov spracúvajú údaje a informácie v elektronickej forme</w:t>
            </w:r>
          </w:p>
        </w:tc>
      </w:tr>
      <w:tr w:rsidR="000E33F4" w:rsidRPr="000E33F4" w14:paraId="07300F1A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CDAB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Komponent IT infraštruktúry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D3A3" w14:textId="77777777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 xml:space="preserve"> IT zariadenie a/alebo  Základný aplikačný softvér</w:t>
            </w:r>
          </w:p>
        </w:tc>
      </w:tr>
      <w:tr w:rsidR="000E33F4" w:rsidRPr="000E33F4" w14:paraId="2CF1ABBB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4BDB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Kritérium kvality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E1B5" w14:textId="77777777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kritérium kvality predstavuje tie charakteristiky produktu, ktoré určujú, či produkt spĺňa požiadavky pre produkt stanovené.</w:t>
            </w:r>
          </w:p>
        </w:tc>
      </w:tr>
      <w:tr w:rsidR="000E33F4" w:rsidRPr="000E33F4" w14:paraId="4E9B1F2B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E9A4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Kvalita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2812" w14:textId="77777777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celkový súhrn znakov prvku, ktoré ovplyvňujú jeho schopnosť uspokojiť stanovené a predpokladané potreby.</w:t>
            </w:r>
          </w:p>
        </w:tc>
      </w:tr>
      <w:tr w:rsidR="000E33F4" w:rsidRPr="000E33F4" w14:paraId="3A0086B2" w14:textId="77777777" w:rsidTr="00C803C6">
        <w:trPr>
          <w:cantSplit/>
        </w:trPr>
        <w:tc>
          <w:tcPr>
            <w:tcW w:w="2420" w:type="dxa"/>
          </w:tcPr>
          <w:p w14:paraId="30078C4A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Licencované materiály</w:t>
            </w:r>
          </w:p>
        </w:tc>
        <w:tc>
          <w:tcPr>
            <w:tcW w:w="6760" w:type="dxa"/>
          </w:tcPr>
          <w:p w14:paraId="2C9DBA4A" w14:textId="55646C41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zmluvné strany rozumejú dokumenty písané poskytovateľom na používanie v spojení s informačným systémom (licencovaným programom) v slovenskom jazyku vrátane používateľských smerníc a referenčných materiálov dodávaných poskytovateľom objednávateľovi podľa tejto zmluvy.</w:t>
            </w:r>
          </w:p>
        </w:tc>
      </w:tr>
      <w:tr w:rsidR="000E33F4" w:rsidRPr="000E33F4" w14:paraId="7797EBF5" w14:textId="77777777" w:rsidTr="00C803C6">
        <w:trPr>
          <w:cantSplit/>
        </w:trPr>
        <w:tc>
          <w:tcPr>
            <w:tcW w:w="2420" w:type="dxa"/>
          </w:tcPr>
          <w:p w14:paraId="413C1E06" w14:textId="1ED7FADD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Nastavenia informačného systému</w:t>
            </w:r>
          </w:p>
        </w:tc>
        <w:tc>
          <w:tcPr>
            <w:tcW w:w="6760" w:type="dxa"/>
          </w:tcPr>
          <w:p w14:paraId="3A58B155" w14:textId="4982ED09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nastavenie informačného systému znamená zmenu parametrov (parametrizácia) vykonaných v používateľskom rozhraní systému. Nastavenie informačného systému musí byť vykonané v súlade s používateľskou dokumentáciou.</w:t>
            </w:r>
          </w:p>
        </w:tc>
      </w:tr>
      <w:tr w:rsidR="000E33F4" w:rsidRPr="000E33F4" w14:paraId="1D67F10B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CA81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Nedostatok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A60F" w14:textId="3DBBE96A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nedostatok predstavuje akékoľvek nesplnenie požiadaviek na dodávaný systém, nesplnenie stanovených štandardov, neschválené odchýlky od stanovenej funkcionality informačného systému, nedodržanie postupov stanovených pre analýzu, návrh, implementovanie, testovanie a spracovanie dokumentácie dodávaného systému a používanie iných ako stanovených softvérových nástrojov. Nedostatok predstavuje aj nevykonávanie alebo iba čiastočné vykonávanie funkcií komponentov, modulov, objektov a programov špecifikovaných v sprievodnej dokumentácií dodávaného systému.</w:t>
            </w:r>
          </w:p>
          <w:p w14:paraId="14305635" w14:textId="71E16397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Nedostatok predstavuje aj nesplnenie skúšobnej podmienky stanovenej na overenie požadovaných funkčných, technických, prevádzkových a bezpečnostných vlastností dodávaného systému počas akceptačného testovania informačného systému</w:t>
            </w:r>
          </w:p>
        </w:tc>
      </w:tr>
      <w:tr w:rsidR="000E33F4" w:rsidRPr="000E33F4" w14:paraId="16D27A03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55D9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Osobodeň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1B41" w14:textId="7263DF4E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 xml:space="preserve">zmluvné strany rozumejú práce a služby 1 osoby počas 8 hodín práce počas pracovnej doby (od 8:00 h do 16:00 h) počas pracovných dní, pričom sa počíta iba naplnených osem hodín. </w:t>
            </w:r>
          </w:p>
        </w:tc>
      </w:tr>
      <w:tr w:rsidR="000E33F4" w:rsidRPr="000E33F4" w14:paraId="148598E8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3CEA" w14:textId="6ABFC27E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lastRenderedPageBreak/>
              <w:t>Osobohodina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C6E1" w14:textId="3219EDED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1 osobohodina = 60 minút pracovného času.</w:t>
            </w:r>
          </w:p>
        </w:tc>
      </w:tr>
      <w:tr w:rsidR="000E33F4" w:rsidRPr="000E33F4" w14:paraId="66BDA0C9" w14:textId="77777777" w:rsidTr="00C803C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239F800F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Poverená osoba</w:t>
            </w:r>
          </w:p>
        </w:tc>
        <w:tc>
          <w:tcPr>
            <w:tcW w:w="6760" w:type="dxa"/>
          </w:tcPr>
          <w:p w14:paraId="3900976A" w14:textId="60E66E3A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zástupca jednej zo strán tejto Zmluvy zaisťujúca spoluprácu a komunikáciu medzi stranami v rozsahu danom touto zmluvou a jeho oprávnením.</w:t>
            </w:r>
          </w:p>
        </w:tc>
      </w:tr>
      <w:tr w:rsidR="000E33F4" w:rsidRPr="000E33F4" w14:paraId="000931E4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32B6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Požiadavka na zmenu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34F9" w14:textId="379D6213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požiadavka na zmenu predstavuje prostriedok na modifikáciu informačného systému, t.j. akýkoľvek návrh a podnet, ktorého cieľom je zmeniť vlastnosti informačného systému voči požiadavkám na systém so zámerom zlepšiť vlastnosti informačného systému.</w:t>
            </w:r>
          </w:p>
        </w:tc>
      </w:tr>
      <w:tr w:rsidR="000E33F4" w:rsidRPr="000E33F4" w14:paraId="6CC34C34" w14:textId="77777777" w:rsidTr="00732C30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A969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Poskytovateľ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E58E" w14:textId="77777777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subjekt/organizácia/spoločnosť/firma, ktorá dodáva, zabezpečuje a zodpovedá za dodávky, práce a služby uvedené v popise predmetu tejto zmluvy a vo svojich záväzkoch v tejto zmluve pre objednávateľa.</w:t>
            </w:r>
          </w:p>
        </w:tc>
      </w:tr>
      <w:tr w:rsidR="000E33F4" w:rsidRPr="000E33F4" w14:paraId="60C2C12F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ADD9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Pracovná doba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BBE7" w14:textId="7477CC35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za pracovnú dobu sa pre účely tejto Servisnej zmluvy rozumie časové obdobie medzi 7.00 – 23.00 hod. v pracovných dňoch a v dňoch pracovného voľna, resp. pracovného pokoja, ktoré sú pracovnými dňami platobného systému TARGET2.</w:t>
            </w:r>
          </w:p>
          <w:p w14:paraId="4FD95C9D" w14:textId="55033867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https://www.ecb.europa.eu/paym/target/target2/html/index.en.html</w:t>
            </w:r>
          </w:p>
        </w:tc>
      </w:tr>
      <w:tr w:rsidR="000E33F4" w:rsidRPr="000E33F4" w14:paraId="5509F207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1339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Prijatý, Prijatie, Prijať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41CF" w14:textId="77777777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pojmy „Prijatý“, ”Prijatie”, „Prijať“ tak, ako sú uvádzané v zmluve znamenajú pre obidve zmluvné strany, že:</w:t>
            </w:r>
          </w:p>
          <w:p w14:paraId="44295C58" w14:textId="6B977339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akákoľvek dodávka uvedená v popise predmetu tejto zmluvy a/alebo akýkoľvek záväzok poskytovateľa boli zo strany poskytovateľa splnené podľa podmienok, štandardov, procedúr a kritérií tejto zmluvy, a ktorých splnenie objednávateľ podľa podmienok tejto zmluvy písomne odsúhlasil (akceptoval),</w:t>
            </w:r>
          </w:p>
          <w:p w14:paraId="01C87403" w14:textId="1622FE16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akákoľvek dodávka uvedená v popise predmetu tejto zmluvy a/alebo akýkoľvek záväzok poskytovateľa boli na základe predchádzajúceho objednávateľom odsúhlaseného splnenia (akceptácie) fyzicky dodané poskytovateľom objednávateľovi v mieste objednávateľa a ktoré objednávateľ fyzicky prijal,</w:t>
            </w:r>
          </w:p>
          <w:p w14:paraId="02175AFB" w14:textId="3C8B79D6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fyzické prijatie písomne odsúhlasenej (akceptovanej) dodávky a/alebo záväzku poskytovateľa potvrdia poskytovateľ a objednávateľ písomne v preberacom protokole.. Predmetný protokol je uvedený ako štandard v Prílohe 4 tejto zmluvy.</w:t>
            </w:r>
          </w:p>
        </w:tc>
      </w:tr>
      <w:tr w:rsidR="000E33F4" w:rsidRPr="000E33F4" w14:paraId="5AA2A82C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D2C6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Prevzatý, Prevzatie, Prevziať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DF21" w14:textId="77777777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pojmy „Prevzatý“, ”Prevzatie”, Prevziať“ tak ako sú uvádzané v zmluve znamenajú pre obidve zmluvné strany, že:</w:t>
            </w:r>
          </w:p>
          <w:p w14:paraId="4A1CCFBA" w14:textId="113913F3" w:rsidR="000F7327" w:rsidRPr="000E33F4" w:rsidRDefault="000F7327" w:rsidP="000F7327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 xml:space="preserve">akákoľvek dodávka uvedená v popise predmetu tejto zmluvy a/alebo akýkoľvek záväzok poskytovateľa boli zo strany poskytovateľa fyzicky dodané objednávateľovi v mieste objednávateľa za účelom ich prevzatia napr. na informovanie objednávateľa, na vykonanie akceptačného testovania, na vykonanie pripomienkovania a akceptovania dokumentov, na zaistenie kvality riadenia projektu a na zaistenie kvality dodávaného systému a objednávateľ ich k uvedenému účelu fyzicky prevzal. </w:t>
            </w:r>
          </w:p>
          <w:p w14:paraId="4E59EB23" w14:textId="29EC830A" w:rsidR="000F7327" w:rsidRPr="000E33F4" w:rsidRDefault="000F7327" w:rsidP="000F7327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fyzické prevzatie dodávky a/alebo záväzku poskytovateľa potvrdia poskytovateľ a objednávateľ písomne v preberacom protokole. Predmetný protokol bude uvedený ako štandard v tejto zmluve.</w:t>
            </w:r>
          </w:p>
          <w:p w14:paraId="6A9E6C03" w14:textId="52EFBAE8" w:rsidR="000F7327" w:rsidRPr="000E33F4" w:rsidRDefault="000F7327" w:rsidP="000F7327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účel a stav dodávky alebo záväzku poskytovateľa musí byť jednoznačne uvedený vo funkčnom prijímacom protokole.</w:t>
            </w:r>
          </w:p>
        </w:tc>
      </w:tr>
      <w:tr w:rsidR="000E33F4" w:rsidRPr="000E33F4" w14:paraId="10BD5D46" w14:textId="77777777" w:rsidTr="00C803C6">
        <w:trPr>
          <w:cantSplit/>
        </w:trPr>
        <w:tc>
          <w:tcPr>
            <w:tcW w:w="2420" w:type="dxa"/>
          </w:tcPr>
          <w:p w14:paraId="2D1A8E35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lastRenderedPageBreak/>
              <w:t>Prevádzkový incident</w:t>
            </w:r>
          </w:p>
        </w:tc>
        <w:tc>
          <w:tcPr>
            <w:tcW w:w="6760" w:type="dxa"/>
          </w:tcPr>
          <w:p w14:paraId="6ECE4225" w14:textId="50838657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nedostatok, chyba  alebo iný incident, ktoré vzniknú :</w:t>
            </w:r>
          </w:p>
          <w:p w14:paraId="79CC7CCD" w14:textId="4F76AFD0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 xml:space="preserve">pri prevádzke informačného systému, a/alebo v súvislosti s prevádzkou informačného systému v produkčnom prostredí alebo </w:t>
            </w:r>
          </w:p>
          <w:p w14:paraId="34DCABF3" w14:textId="7429ECC3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 xml:space="preserve">pri prevádzke informačného systému, a/alebo v súvislosti s prevádzkou informačného systému v prostredí, ktoré vzniklo bezprostrednou kópiou produkčného prostredia a boli v ňom použité iba také dodatočné zásahy a/alebo konfiguračné zmeny komponentov a/alebo funkcionalít a/alebo iných parametrov systému, ktoré sú v súlade s inštalačnou, konfiguračnou a používateľskou dokumentáciou dodávaného systému“ </w:t>
            </w:r>
          </w:p>
        </w:tc>
      </w:tr>
      <w:tr w:rsidR="000E33F4" w:rsidRPr="000E33F4" w14:paraId="151D8A21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AD69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Produkčné prostredie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5D13" w14:textId="45F713C2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zmluvné strany rozumejú technické zariadenia a programové vybavenie (softvér) a všetky údaje nachádzajúce sa u objednávateľa vrátane nastavenia ich parametrov určené k produkčnej prevádzke informačného systému.</w:t>
            </w:r>
          </w:p>
        </w:tc>
      </w:tr>
      <w:tr w:rsidR="000E33F4" w:rsidRPr="000E33F4" w14:paraId="59914DA9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E0DE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Produkt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660F" w14:textId="77777777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 xml:space="preserve">produkt predstavuje akýkoľvek výstup projektu alebo servisnej služby, t.j. softvér, hardvér, dokumentácia a údaje. </w:t>
            </w:r>
          </w:p>
          <w:p w14:paraId="27433D3E" w14:textId="77777777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Popis produktu popisuje jeho účel, formát (podobu), prvky, z ktorých sa skladá, t.j. komponenty, a kvalitatívne kritéria, ktorým musia vyhovieť. Každý produkt má svoj popis. Čiastkové produkty komplexných produktov môžu mať svoje vlastné popisy a samotné sa môže skladať z ďalších produktov, podproduktov.</w:t>
            </w:r>
          </w:p>
        </w:tc>
      </w:tr>
      <w:tr w:rsidR="000E33F4" w:rsidRPr="000E33F4" w14:paraId="474CA73A" w14:textId="77777777" w:rsidTr="00C803C6">
        <w:trPr>
          <w:cantSplit/>
        </w:trPr>
        <w:tc>
          <w:tcPr>
            <w:tcW w:w="2420" w:type="dxa"/>
          </w:tcPr>
          <w:p w14:paraId="365D39F1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Produktová dokumentácia</w:t>
            </w:r>
          </w:p>
        </w:tc>
        <w:tc>
          <w:tcPr>
            <w:tcW w:w="6760" w:type="dxa"/>
          </w:tcPr>
          <w:p w14:paraId="31849B75" w14:textId="382CB2EB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technická dokumentácia, používateľská dokumentácia, inštalačná dokumentácia informačného systému.</w:t>
            </w:r>
          </w:p>
        </w:tc>
      </w:tr>
      <w:tr w:rsidR="000E33F4" w:rsidRPr="000E33F4" w14:paraId="4D2E84FD" w14:textId="77777777" w:rsidTr="00C803C6">
        <w:trPr>
          <w:cantSplit/>
        </w:trPr>
        <w:tc>
          <w:tcPr>
            <w:tcW w:w="2420" w:type="dxa"/>
          </w:tcPr>
          <w:p w14:paraId="4979ECBA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Projektant, projektant prevádzky</w:t>
            </w:r>
          </w:p>
        </w:tc>
        <w:tc>
          <w:tcPr>
            <w:tcW w:w="6760" w:type="dxa"/>
          </w:tcPr>
          <w:p w14:paraId="657B7B1A" w14:textId="34457C12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odbor informačných technológií, ktorý je zodpovedný za technické a programové vybavenie pracovísk a zabezpečenie prevádzky IS v NBS.</w:t>
            </w:r>
          </w:p>
        </w:tc>
      </w:tr>
      <w:tr w:rsidR="000E33F4" w:rsidRPr="000E33F4" w14:paraId="57BC5877" w14:textId="77777777" w:rsidTr="00C803C6">
        <w:trPr>
          <w:cantSplit/>
        </w:trPr>
        <w:tc>
          <w:tcPr>
            <w:tcW w:w="2420" w:type="dxa"/>
          </w:tcPr>
          <w:p w14:paraId="0CB0B102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Prostredie</w:t>
            </w:r>
          </w:p>
        </w:tc>
        <w:tc>
          <w:tcPr>
            <w:tcW w:w="6760" w:type="dxa"/>
          </w:tcPr>
          <w:p w14:paraId="71835E0F" w14:textId="25D8A2B6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 xml:space="preserve">zmluvné strany rozumejú testovacie a/alebo produkčné a/alebo archivačné prostredie objednávateľa, ktoré je inštalované v priestoroch objednávateľa na používanie s  informačným systémom (licencovanými programami). </w:t>
            </w:r>
          </w:p>
        </w:tc>
      </w:tr>
      <w:tr w:rsidR="000E33F4" w:rsidRPr="000E33F4" w14:paraId="644E84AF" w14:textId="77777777" w:rsidTr="00C803C6">
        <w:trPr>
          <w:cantSplit/>
        </w:trPr>
        <w:tc>
          <w:tcPr>
            <w:tcW w:w="2420" w:type="dxa"/>
          </w:tcPr>
          <w:p w14:paraId="33277C0A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Riadenie</w:t>
            </w:r>
          </w:p>
        </w:tc>
        <w:tc>
          <w:tcPr>
            <w:tcW w:w="6760" w:type="dxa"/>
          </w:tcPr>
          <w:p w14:paraId="0CCE603C" w14:textId="36A55D62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proces plánovania, zabezpečenia, kontrolovania a vyhodnocovania činností pri realizácii servisných služieb.</w:t>
            </w:r>
          </w:p>
        </w:tc>
      </w:tr>
      <w:tr w:rsidR="000E33F4" w:rsidRPr="000E33F4" w14:paraId="4C694348" w14:textId="77777777" w:rsidTr="00C803C6">
        <w:trPr>
          <w:cantSplit/>
        </w:trPr>
        <w:tc>
          <w:tcPr>
            <w:tcW w:w="2420" w:type="dxa"/>
          </w:tcPr>
          <w:p w14:paraId="334511D4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Riadenie incidentov</w:t>
            </w:r>
          </w:p>
        </w:tc>
        <w:tc>
          <w:tcPr>
            <w:tcW w:w="6760" w:type="dxa"/>
          </w:tcPr>
          <w:p w14:paraId="7BC9CD33" w14:textId="453F44E5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 xml:space="preserve">spočíva v: </w:t>
            </w:r>
          </w:p>
          <w:p w14:paraId="07D21FE8" w14:textId="53E4DD20" w:rsidR="000F7327" w:rsidRPr="000E33F4" w:rsidRDefault="000F7327" w:rsidP="000F7327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 xml:space="preserve">zaznamenaní incidentov v rámci prevádzky informačného systému a/alebo počas akceptačného testovania úpravy informačného systému alebo jeho časti </w:t>
            </w:r>
          </w:p>
          <w:p w14:paraId="231EBCDB" w14:textId="77777777" w:rsidR="000F7327" w:rsidRPr="000E33F4" w:rsidRDefault="000F7327" w:rsidP="000F7327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vykonanie analýzy príčin incidentu,</w:t>
            </w:r>
          </w:p>
          <w:p w14:paraId="6D3FF286" w14:textId="4816BA72" w:rsidR="000F7327" w:rsidRPr="000E33F4" w:rsidRDefault="000F7327" w:rsidP="000F7327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vyriešenie incidentov a otestovanie u poskytovateľa tak, aby bolo vylúčené zanesenie nových incidentov do informačného systému ako dôsledok riešenia daného incidentu,</w:t>
            </w:r>
          </w:p>
          <w:p w14:paraId="4947FE22" w14:textId="77777777" w:rsidR="000F7327" w:rsidRPr="000E33F4" w:rsidRDefault="000F7327" w:rsidP="000F7327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vykonanie overenia vyriešenia incidentu formou regresného testovania objednávateľom,</w:t>
            </w:r>
          </w:p>
          <w:p w14:paraId="69ED3724" w14:textId="77777777" w:rsidR="000F7327" w:rsidRPr="000E33F4" w:rsidRDefault="000F7327" w:rsidP="000F7327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vedenie dokumentácie o riadení incidentov.</w:t>
            </w:r>
          </w:p>
        </w:tc>
      </w:tr>
      <w:tr w:rsidR="000E33F4" w:rsidRPr="000E33F4" w14:paraId="3B133470" w14:textId="77777777" w:rsidTr="00C803C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5613505E" w14:textId="56CBDADC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Sprievodná dokumentácia informačného systému</w:t>
            </w:r>
          </w:p>
        </w:tc>
        <w:tc>
          <w:tcPr>
            <w:tcW w:w="6760" w:type="dxa"/>
          </w:tcPr>
          <w:p w14:paraId="3DFF09F4" w14:textId="165344CE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sprievodnú dokumentáciu informačného systému predstavuje:</w:t>
            </w:r>
          </w:p>
          <w:p w14:paraId="7C2DAD61" w14:textId="2EFC336D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vývojová dokumentácia informačného systému,</w:t>
            </w:r>
          </w:p>
          <w:p w14:paraId="7F6156F9" w14:textId="2F077894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technická dokumentácia informačného systému,</w:t>
            </w:r>
          </w:p>
          <w:p w14:paraId="54528EA9" w14:textId="222BF12E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používateľská dokumentácia informačného systému,</w:t>
            </w:r>
          </w:p>
          <w:p w14:paraId="7E37BB23" w14:textId="72DE1E2D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inštalačná dokumentácia informačného systému.</w:t>
            </w:r>
          </w:p>
        </w:tc>
      </w:tr>
      <w:tr w:rsidR="000E33F4" w:rsidRPr="000E33F4" w14:paraId="5199CEC3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76F0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Softvér tretej strany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D59E" w14:textId="5CDF786D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zmluvné strany rozumejú softvérové programy, ktoré sú zabudované v systéme (licencovanom programe), alebo sú vyžadované na jeho používanie a ich výrobcom alebo autorom nie je poskytovateľ alebo ide o softvérové programy vytvorené poskytovateľom, s ktorými poskytovateľ bežne obchoduje na trhu formou predaja licencií.</w:t>
            </w:r>
          </w:p>
        </w:tc>
      </w:tr>
      <w:tr w:rsidR="000E33F4" w:rsidRPr="000E33F4" w14:paraId="7CAE11AF" w14:textId="77777777" w:rsidTr="00C803C6">
        <w:trPr>
          <w:cantSplit/>
        </w:trPr>
        <w:tc>
          <w:tcPr>
            <w:tcW w:w="2420" w:type="dxa"/>
          </w:tcPr>
          <w:p w14:paraId="3BED6A0A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lastRenderedPageBreak/>
              <w:t>Systém na zaznamenávanie prevádzkových incidentov</w:t>
            </w:r>
          </w:p>
        </w:tc>
        <w:tc>
          <w:tcPr>
            <w:tcW w:w="6760" w:type="dxa"/>
          </w:tcPr>
          <w:p w14:paraId="1E09E54A" w14:textId="5EBFDF57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systém určený na evidovanie prevádzkových incidentov/vád/ chýb/nedostatkov zistených pri prevádzke informačného systému, alebo v súvislosti s prevádzkou informačného systému alebo incidentov zistených počas overovania funkčnosti informačného systému (akceptačného testovania).</w:t>
            </w:r>
          </w:p>
        </w:tc>
      </w:tr>
      <w:tr w:rsidR="000E33F4" w:rsidRPr="000E33F4" w14:paraId="059C60D3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638E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Testovacie prostredie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1786" w14:textId="66012D53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zmluvné strany rozumejú technické zariadenia a programové vybavenie (softvér) a všetky údaje nachádzajúce sa u objednávateľa vrátane nastavenia ich parametrov určené k akceptačnému testovaniu informačného systému.</w:t>
            </w:r>
          </w:p>
        </w:tc>
      </w:tr>
      <w:tr w:rsidR="000E33F4" w:rsidRPr="000E33F4" w14:paraId="30919A79" w14:textId="77777777" w:rsidTr="00C803C6">
        <w:trPr>
          <w:cantSplit/>
        </w:trPr>
        <w:tc>
          <w:tcPr>
            <w:tcW w:w="2420" w:type="dxa"/>
          </w:tcPr>
          <w:p w14:paraId="49FD5367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Účastník servisnej služby</w:t>
            </w:r>
          </w:p>
        </w:tc>
        <w:tc>
          <w:tcPr>
            <w:tcW w:w="6760" w:type="dxa"/>
          </w:tcPr>
          <w:p w14:paraId="16756432" w14:textId="26F53AB0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účastníkmi servisnej služby sú výhradne zmluvné strany, t. j. objednávateľ a poskytovateľ.</w:t>
            </w:r>
          </w:p>
        </w:tc>
      </w:tr>
      <w:tr w:rsidR="000E33F4" w:rsidRPr="000E33F4" w14:paraId="6D5B0033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462B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Výkaz 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C5D3" w14:textId="3AFBC2D1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 xml:space="preserve">zmluvné strany rozumejú tlačový výstup vyhotovený vo formáte a grafickej úprave, ktorý je predpísaný internými aktmi riadenia objednávateľa alebo všeobecne záväznými právnymi predpismi. Vzor každého výkazu je uvedený v tejto zmluve. </w:t>
            </w:r>
          </w:p>
        </w:tc>
      </w:tr>
      <w:tr w:rsidR="000E33F4" w:rsidRPr="000E33F4" w14:paraId="3A47C1A9" w14:textId="77777777" w:rsidTr="00C803C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5723887B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 xml:space="preserve">Vývojové prostredie </w:t>
            </w:r>
          </w:p>
        </w:tc>
        <w:tc>
          <w:tcPr>
            <w:tcW w:w="6760" w:type="dxa"/>
          </w:tcPr>
          <w:p w14:paraId="0937BC84" w14:textId="33B44376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informačná systém, ktorý je inštalovaný a sprístupnený v mieste poskytovateľa a/alebo objednávateľa.</w:t>
            </w:r>
          </w:p>
        </w:tc>
      </w:tr>
      <w:tr w:rsidR="000E33F4" w:rsidRPr="000E33F4" w14:paraId="6DC71618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9A18" w14:textId="1BF664E2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Zmluva, zmluva, táto zmluva, tejto zmluvy, Servisná zmluva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3E0C" w14:textId="7062E12D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 xml:space="preserve">rozumie sa zmluva číslo </w:t>
            </w:r>
            <w:r w:rsidRPr="000E33F4">
              <w:rPr>
                <w:rFonts w:ascii="Cambria" w:hAnsi="Cambria"/>
                <w:sz w:val="20"/>
              </w:rPr>
              <w:t>C-NBS1-000-086-992.</w:t>
            </w:r>
            <w:r w:rsidRPr="000E33F4">
              <w:rPr>
                <w:rFonts w:ascii="Cambria" w:hAnsi="Cambria"/>
                <w:b/>
                <w:bCs/>
                <w:i/>
                <w:iCs/>
                <w:sz w:val="20"/>
              </w:rPr>
              <w:t xml:space="preserve"> </w:t>
            </w:r>
            <w:r w:rsidRPr="000E33F4">
              <w:rPr>
                <w:rFonts w:ascii="Cambria" w:hAnsi="Cambria" w:cs="Arial"/>
                <w:sz w:val="20"/>
              </w:rPr>
              <w:t>Uvedený pojem zahŕňa zmluvu vrátane všetkých príloh, ktoré tvoria jej neoddeliteľnú súčasť a každý iný dokument, ktorý sa dohodne medzi stranami a výslovne určí, aby tvoril súčasť tejto zmluvy a zahŕňa každú zmenu tejto zmluvy, ktorú zmluvné strany dohodli písomne.</w:t>
            </w:r>
          </w:p>
        </w:tc>
      </w:tr>
      <w:tr w:rsidR="000E33F4" w:rsidRPr="000E33F4" w14:paraId="1AB464A7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785B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Zmluvná strana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E23E" w14:textId="05516B99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rozumie sa objednávateľ alebo poskytovateľ.</w:t>
            </w:r>
          </w:p>
        </w:tc>
      </w:tr>
      <w:tr w:rsidR="000E33F4" w:rsidRPr="000E33F4" w14:paraId="7BA1C411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2995" w14:textId="77777777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Lehota služby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3909" w14:textId="5440A7F6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rozumie sa časové obdobie, počas ktorého je poskytovateľ povinný dokončiť vykonávanie príslušnej činnosti od prevzatia požiadavky objednávateľa na jej vykonanie. V prípade zásadného, závažného incidentu môže poskytovateľ navrhnúť náhradné riešenie, čím však nie je zbavený povinností vyriešiť incident v náhradnom termíne dohodnutom objednávateľom. Pre účely zmluvných pokút za nedodržanie lehoty služby sa poskytnutie náhradného riešenia chápe ako vyriešenie incidentu.</w:t>
            </w:r>
          </w:p>
        </w:tc>
      </w:tr>
      <w:tr w:rsidR="000E33F4" w:rsidRPr="000E33F4" w14:paraId="09F0445E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C787" w14:textId="29401A06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ZPB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55B1" w14:textId="2D1F5883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záložné pracovisko banky/záložné pracovisko objednávateľa</w:t>
            </w:r>
          </w:p>
        </w:tc>
      </w:tr>
      <w:tr w:rsidR="000E33F4" w:rsidRPr="000E33F4" w14:paraId="2EC1132D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9983" w14:textId="1115AFBE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0E33F4">
              <w:rPr>
                <w:rFonts w:ascii="Cambria" w:hAnsi="Cambria" w:cs="Arial"/>
                <w:b/>
                <w:bCs/>
                <w:sz w:val="20"/>
              </w:rPr>
              <w:t>ZTB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F169" w14:textId="01139C66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záložné technologické pracovisko banky/záložné technologické pracovisko objednávateľa</w:t>
            </w:r>
          </w:p>
        </w:tc>
      </w:tr>
      <w:tr w:rsidR="000E33F4" w:rsidRPr="000E33F4" w14:paraId="246C414E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8495" w14:textId="41F33F63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0E33F4">
              <w:rPr>
                <w:rFonts w:ascii="Cambria" w:hAnsi="Cambria"/>
                <w:b/>
                <w:sz w:val="20"/>
              </w:rPr>
              <w:t>Dodávateľ Systému  SAP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1D05" w14:textId="6BD94A0A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/>
                <w:sz w:val="20"/>
              </w:rPr>
              <w:t>Výrobca Systému SAP, SAP Aktiengesellschaft, Systeme, Anwendungen, Produkte in der Datenverarbeitung, se sídlem Neurottstrasse 16, 69190 Walldorf/Baden, SRN, alebo jeho zastúpenie SAP Slovensko, s. r. o.</w:t>
            </w:r>
          </w:p>
        </w:tc>
      </w:tr>
      <w:tr w:rsidR="000E33F4" w:rsidRPr="000E33F4" w14:paraId="07F453F3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7684" w14:textId="2FA1A282" w:rsidR="000F7327" w:rsidRPr="000E33F4" w:rsidRDefault="000F7327" w:rsidP="000F7327">
            <w:pPr>
              <w:spacing w:before="60" w:after="20"/>
              <w:rPr>
                <w:rFonts w:ascii="Cambria" w:hAnsi="Cambria" w:cs="Arial"/>
                <w:b/>
                <w:sz w:val="20"/>
              </w:rPr>
            </w:pPr>
            <w:r w:rsidRPr="000E33F4">
              <w:rPr>
                <w:rFonts w:ascii="Cambria" w:hAnsi="Cambria"/>
                <w:b/>
                <w:sz w:val="20"/>
              </w:rPr>
              <w:t>SAP note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747A" w14:textId="23CD047A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/>
                <w:sz w:val="20"/>
              </w:rPr>
              <w:t>Záznam, ktorý je umiestnený v databáze vedomostí SAP. SAP Note obsahuje popis prejavu chyby, príčinu vzniku chyby, popis zmeny a/alebo rozšírenia zdrojového kódu systému SAP, popis úprav systému SAP, samotný zdrojový kód zmeny a/alebo rozšírenia Systému, odkazy na Suport Packages, nastavenia parametrov systému, prípadne ďalšie informácie týkajúce sa úpravy Systému umiestnené v databáze vedomostí SAP.</w:t>
            </w:r>
          </w:p>
        </w:tc>
      </w:tr>
      <w:tr w:rsidR="000E33F4" w:rsidRPr="000E33F4" w14:paraId="4FAA23B2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C164" w14:textId="3B06252B" w:rsidR="000F7327" w:rsidRPr="000E33F4" w:rsidRDefault="000F7327" w:rsidP="000F7327">
            <w:pPr>
              <w:pStyle w:val="Nadpis5-ploha"/>
              <w:rPr>
                <w:rFonts w:ascii="Cambria" w:hAnsi="Cambria" w:cs="Arial"/>
                <w:b w:val="0"/>
                <w:bCs/>
                <w:sz w:val="20"/>
                <w:lang w:val="sk-SK"/>
              </w:rPr>
            </w:pPr>
            <w:r w:rsidRPr="000E33F4">
              <w:rPr>
                <w:rFonts w:ascii="Cambria" w:hAnsi="Cambria"/>
                <w:sz w:val="20"/>
                <w:lang w:val="sk-SK"/>
              </w:rPr>
              <w:lastRenderedPageBreak/>
              <w:t>SAP Note Assistant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F6FD" w14:textId="1C198AC1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Nástroj na inštaláciu a administráciu špecifických úprav a zlepšení k SAP komponentom, ktoré sú obsiahnuté v SAP Notes.</w:t>
            </w:r>
          </w:p>
        </w:tc>
      </w:tr>
      <w:tr w:rsidR="000E33F4" w:rsidRPr="000E33F4" w14:paraId="12EDA842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02FD" w14:textId="5D98CE47" w:rsidR="000F7327" w:rsidRPr="000E33F4" w:rsidRDefault="000F7327" w:rsidP="000F7327">
            <w:pPr>
              <w:pStyle w:val="Nadpis5-ploha"/>
              <w:rPr>
                <w:rFonts w:ascii="Cambria" w:hAnsi="Cambria" w:cs="Arial"/>
                <w:b w:val="0"/>
                <w:bCs/>
                <w:sz w:val="20"/>
                <w:lang w:val="sk-SK"/>
              </w:rPr>
            </w:pPr>
            <w:r w:rsidRPr="000E33F4">
              <w:rPr>
                <w:rFonts w:ascii="Cambria" w:hAnsi="Cambria"/>
                <w:sz w:val="20"/>
                <w:lang w:val="sk-SK"/>
              </w:rPr>
              <w:t>Support Package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66AC" w14:textId="03F3A744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/>
                <w:sz w:val="20"/>
              </w:rPr>
            </w:pPr>
            <w:r w:rsidRPr="000E33F4">
              <w:rPr>
                <w:rFonts w:ascii="Cambria" w:hAnsi="Cambria"/>
                <w:sz w:val="20"/>
              </w:rPr>
              <w:t>Balík úprav Systému, ktorý je možné vykonávať len ako celok a v definovanom poradí. Support Package obsahuje všetky kritické SAP Notes, všetky potrebné informácie a zdrojové kódy na realizáciu požadovanej úpravy systému SAP. Support Packages je určený na zníženie úsilia s implementáciou jednotlivých úprav systému SAP, ktoré by bolo potrebné vykonať na úpravu Systému samostatne a v určenom poradí. Pri ostatných vadách sa vykoná odstránenie v nasledujúcej Verzii.</w:t>
            </w:r>
          </w:p>
        </w:tc>
      </w:tr>
      <w:tr w:rsidR="000E33F4" w:rsidRPr="000E33F4" w14:paraId="3B1F8900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0FFA" w14:textId="541B23B6" w:rsidR="000F7327" w:rsidRPr="000E33F4" w:rsidRDefault="000F7327" w:rsidP="000F7327">
            <w:pPr>
              <w:pStyle w:val="Nadpis5-ploha"/>
              <w:rPr>
                <w:rFonts w:ascii="Cambria" w:hAnsi="Cambria" w:cs="Arial"/>
                <w:b w:val="0"/>
                <w:bCs/>
                <w:sz w:val="20"/>
                <w:lang w:val="sk-SK"/>
              </w:rPr>
            </w:pPr>
            <w:r w:rsidRPr="000E33F4">
              <w:rPr>
                <w:rFonts w:ascii="Cambria" w:hAnsi="Cambria"/>
                <w:sz w:val="20"/>
                <w:lang w:val="sk-SK"/>
              </w:rPr>
              <w:t>ABAP Support package manager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BC2B" w14:textId="41E52A70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/>
                <w:sz w:val="20"/>
              </w:rPr>
              <w:t>Nástroj na inštaláciu a administráciu špecifických úprav a zlepšení k SAP komponentom, ktoré sú obsiahnuté v  Support Packages.</w:t>
            </w:r>
          </w:p>
        </w:tc>
      </w:tr>
      <w:tr w:rsidR="000E33F4" w:rsidRPr="000E33F4" w14:paraId="1089AC3F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2C09" w14:textId="69E3C4AA" w:rsidR="000F7327" w:rsidRPr="000E33F4" w:rsidRDefault="000F7327" w:rsidP="000F7327">
            <w:pPr>
              <w:pStyle w:val="Nadpis5-ploha"/>
              <w:rPr>
                <w:rFonts w:ascii="Cambria" w:hAnsi="Cambria" w:cs="Arial"/>
                <w:b w:val="0"/>
                <w:bCs/>
                <w:sz w:val="20"/>
                <w:lang w:val="sk-SK"/>
              </w:rPr>
            </w:pPr>
            <w:r w:rsidRPr="000E33F4">
              <w:rPr>
                <w:rFonts w:ascii="Cambria" w:hAnsi="Cambria"/>
                <w:sz w:val="20"/>
                <w:lang w:val="sk-SK"/>
              </w:rPr>
              <w:t>SAP Support portal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47D5" w14:textId="08DD2861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 w:cs="Arial"/>
                <w:sz w:val="20"/>
              </w:rPr>
              <w:t>Servisný systém - databáza, ktorá obsahuje informácie a umožňuje komunikáciu s Dodávateľom systému SAP</w:t>
            </w:r>
          </w:p>
        </w:tc>
      </w:tr>
      <w:tr w:rsidR="000F7327" w:rsidRPr="000E33F4" w14:paraId="1DCFC840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A727" w14:textId="356492ED" w:rsidR="000F7327" w:rsidRPr="000E33F4" w:rsidRDefault="000F7327" w:rsidP="000F7327">
            <w:pPr>
              <w:pStyle w:val="Nadpis5-ploha"/>
              <w:rPr>
                <w:rFonts w:ascii="Cambria" w:hAnsi="Cambria" w:cs="Arial"/>
                <w:b w:val="0"/>
                <w:bCs/>
                <w:sz w:val="20"/>
                <w:lang w:val="sk-SK"/>
              </w:rPr>
            </w:pPr>
            <w:r w:rsidRPr="000E33F4">
              <w:rPr>
                <w:rFonts w:ascii="Cambria" w:hAnsi="Cambria"/>
                <w:sz w:val="20"/>
                <w:lang w:val="sk-SK"/>
              </w:rPr>
              <w:t>Informačný systém FINU/HRO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49F9" w14:textId="680FBBB4" w:rsidR="000F7327" w:rsidRPr="000E33F4" w:rsidRDefault="000F7327" w:rsidP="000F7327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0E33F4">
              <w:rPr>
                <w:rFonts w:ascii="Cambria" w:hAnsi="Cambria"/>
                <w:sz w:val="20"/>
              </w:rPr>
              <w:t>informačný systém FINU/HRO znamená informačný systém/systémy pozostávajúci z modulov, komponentov, objektov, programov, procedúr, funkcií, aplikačnej logiky a služieb, bezpečnostných a prezentačných služieb, databázy a databázových objektov pre finančné účtovníctvo a/alebo hospodárenie a rozpočet.</w:t>
            </w:r>
          </w:p>
        </w:tc>
      </w:tr>
    </w:tbl>
    <w:p w14:paraId="07EBAA0E" w14:textId="77777777" w:rsidR="00850747" w:rsidRPr="000E33F4" w:rsidRDefault="00850747" w:rsidP="00CC4CF5">
      <w:pPr>
        <w:rPr>
          <w:rFonts w:ascii="Cambria" w:hAnsi="Cambria" w:cs="Arial"/>
          <w:sz w:val="20"/>
        </w:rPr>
      </w:pPr>
    </w:p>
    <w:sectPr w:rsidR="00850747" w:rsidRPr="000E33F4" w:rsidSect="009D39F6">
      <w:pgSz w:w="12240" w:h="15840"/>
      <w:pgMar w:top="567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09B19" w14:textId="77777777" w:rsidR="00034944" w:rsidRDefault="00034944">
      <w:r>
        <w:separator/>
      </w:r>
    </w:p>
  </w:endnote>
  <w:endnote w:type="continuationSeparator" w:id="0">
    <w:p w14:paraId="3BBD7ADA" w14:textId="77777777" w:rsidR="00034944" w:rsidRDefault="00034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22D0E" w14:textId="77777777" w:rsidR="00034944" w:rsidRDefault="00034944">
      <w:r>
        <w:separator/>
      </w:r>
    </w:p>
  </w:footnote>
  <w:footnote w:type="continuationSeparator" w:id="0">
    <w:p w14:paraId="4932C039" w14:textId="77777777" w:rsidR="00034944" w:rsidRDefault="00034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25BF"/>
    <w:multiLevelType w:val="hybridMultilevel"/>
    <w:tmpl w:val="76CCF8B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282011FA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2B5C1B6C"/>
    <w:multiLevelType w:val="singleLevel"/>
    <w:tmpl w:val="4E6E575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4499695F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519917A9"/>
    <w:multiLevelType w:val="hybridMultilevel"/>
    <w:tmpl w:val="DD08327C"/>
    <w:lvl w:ilvl="0" w:tplc="D1264348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1805EA"/>
    <w:multiLevelType w:val="hybridMultilevel"/>
    <w:tmpl w:val="FFC261C4"/>
    <w:lvl w:ilvl="0" w:tplc="04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9097657">
    <w:abstractNumId w:val="2"/>
    <w:lvlOverride w:ilvl="0">
      <w:startOverride w:val="1"/>
    </w:lvlOverride>
  </w:num>
  <w:num w:numId="2" w16cid:durableId="10693788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2266475">
    <w:abstractNumId w:val="1"/>
  </w:num>
  <w:num w:numId="4" w16cid:durableId="1691445594">
    <w:abstractNumId w:val="3"/>
  </w:num>
  <w:num w:numId="5" w16cid:durableId="1935359773">
    <w:abstractNumId w:val="5"/>
  </w:num>
  <w:num w:numId="6" w16cid:durableId="1536891165">
    <w:abstractNumId w:val="4"/>
  </w:num>
  <w:num w:numId="7" w16cid:durableId="1551763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DF"/>
    <w:rsid w:val="000243EC"/>
    <w:rsid w:val="00034944"/>
    <w:rsid w:val="00037020"/>
    <w:rsid w:val="00046CE8"/>
    <w:rsid w:val="00047C18"/>
    <w:rsid w:val="00054B31"/>
    <w:rsid w:val="00065772"/>
    <w:rsid w:val="00067B14"/>
    <w:rsid w:val="00072C1F"/>
    <w:rsid w:val="000767FC"/>
    <w:rsid w:val="0008276B"/>
    <w:rsid w:val="000A196A"/>
    <w:rsid w:val="000A739C"/>
    <w:rsid w:val="000B1380"/>
    <w:rsid w:val="000B594E"/>
    <w:rsid w:val="000C0279"/>
    <w:rsid w:val="000C3525"/>
    <w:rsid w:val="000C3E98"/>
    <w:rsid w:val="000C4F0B"/>
    <w:rsid w:val="000D1950"/>
    <w:rsid w:val="000D5826"/>
    <w:rsid w:val="000E1FA9"/>
    <w:rsid w:val="000E33F4"/>
    <w:rsid w:val="000F7327"/>
    <w:rsid w:val="001050DF"/>
    <w:rsid w:val="00133123"/>
    <w:rsid w:val="0014543F"/>
    <w:rsid w:val="0014590E"/>
    <w:rsid w:val="001564AC"/>
    <w:rsid w:val="001904B6"/>
    <w:rsid w:val="00190A03"/>
    <w:rsid w:val="001A7BBC"/>
    <w:rsid w:val="001C3CD8"/>
    <w:rsid w:val="001E0DB7"/>
    <w:rsid w:val="002073B2"/>
    <w:rsid w:val="0023711E"/>
    <w:rsid w:val="00254B6D"/>
    <w:rsid w:val="0028315B"/>
    <w:rsid w:val="002932AA"/>
    <w:rsid w:val="002A0F88"/>
    <w:rsid w:val="002C6A44"/>
    <w:rsid w:val="002F5DD1"/>
    <w:rsid w:val="00311B63"/>
    <w:rsid w:val="00327CBC"/>
    <w:rsid w:val="00332755"/>
    <w:rsid w:val="00360346"/>
    <w:rsid w:val="0036724D"/>
    <w:rsid w:val="00393188"/>
    <w:rsid w:val="003A02F0"/>
    <w:rsid w:val="003A7929"/>
    <w:rsid w:val="003B39B3"/>
    <w:rsid w:val="003C40EE"/>
    <w:rsid w:val="003C7430"/>
    <w:rsid w:val="003D561A"/>
    <w:rsid w:val="003E5696"/>
    <w:rsid w:val="004012BC"/>
    <w:rsid w:val="00424B37"/>
    <w:rsid w:val="00430F32"/>
    <w:rsid w:val="0044235D"/>
    <w:rsid w:val="00453F40"/>
    <w:rsid w:val="00456172"/>
    <w:rsid w:val="00473167"/>
    <w:rsid w:val="00482F38"/>
    <w:rsid w:val="00483ECC"/>
    <w:rsid w:val="0048717D"/>
    <w:rsid w:val="00496D8F"/>
    <w:rsid w:val="004D2154"/>
    <w:rsid w:val="004D32ED"/>
    <w:rsid w:val="004F2510"/>
    <w:rsid w:val="00501FA9"/>
    <w:rsid w:val="00510817"/>
    <w:rsid w:val="005118F1"/>
    <w:rsid w:val="00517B20"/>
    <w:rsid w:val="005414CF"/>
    <w:rsid w:val="005563A6"/>
    <w:rsid w:val="00560199"/>
    <w:rsid w:val="00560D2E"/>
    <w:rsid w:val="00560E19"/>
    <w:rsid w:val="00561C44"/>
    <w:rsid w:val="00562F40"/>
    <w:rsid w:val="00573863"/>
    <w:rsid w:val="005747DF"/>
    <w:rsid w:val="00584A12"/>
    <w:rsid w:val="00594ED6"/>
    <w:rsid w:val="005A066C"/>
    <w:rsid w:val="005B38D4"/>
    <w:rsid w:val="005B3B32"/>
    <w:rsid w:val="005B627A"/>
    <w:rsid w:val="005C336F"/>
    <w:rsid w:val="005C41A2"/>
    <w:rsid w:val="005D37B1"/>
    <w:rsid w:val="005D3D99"/>
    <w:rsid w:val="005E68CA"/>
    <w:rsid w:val="00605A80"/>
    <w:rsid w:val="006161B5"/>
    <w:rsid w:val="006164F1"/>
    <w:rsid w:val="0062148A"/>
    <w:rsid w:val="006253F8"/>
    <w:rsid w:val="006315C5"/>
    <w:rsid w:val="00637FF3"/>
    <w:rsid w:val="00647B53"/>
    <w:rsid w:val="006502A4"/>
    <w:rsid w:val="00653594"/>
    <w:rsid w:val="00665D69"/>
    <w:rsid w:val="00675F3B"/>
    <w:rsid w:val="00685EF8"/>
    <w:rsid w:val="00695D6D"/>
    <w:rsid w:val="006A7274"/>
    <w:rsid w:val="006C1303"/>
    <w:rsid w:val="006E02BD"/>
    <w:rsid w:val="006E54B0"/>
    <w:rsid w:val="00701191"/>
    <w:rsid w:val="00702AB7"/>
    <w:rsid w:val="00723448"/>
    <w:rsid w:val="00727833"/>
    <w:rsid w:val="00737720"/>
    <w:rsid w:val="007419DF"/>
    <w:rsid w:val="007450FD"/>
    <w:rsid w:val="00762237"/>
    <w:rsid w:val="00762313"/>
    <w:rsid w:val="007B6BC7"/>
    <w:rsid w:val="008039A6"/>
    <w:rsid w:val="00832FCC"/>
    <w:rsid w:val="00850747"/>
    <w:rsid w:val="00850F4D"/>
    <w:rsid w:val="0085270A"/>
    <w:rsid w:val="008537C3"/>
    <w:rsid w:val="00862084"/>
    <w:rsid w:val="0087235C"/>
    <w:rsid w:val="0087387A"/>
    <w:rsid w:val="00874DC2"/>
    <w:rsid w:val="00880558"/>
    <w:rsid w:val="00881B21"/>
    <w:rsid w:val="00884830"/>
    <w:rsid w:val="00894B60"/>
    <w:rsid w:val="008A401D"/>
    <w:rsid w:val="008A40FE"/>
    <w:rsid w:val="008B0A90"/>
    <w:rsid w:val="008C0782"/>
    <w:rsid w:val="008C0A7C"/>
    <w:rsid w:val="008C1589"/>
    <w:rsid w:val="008C544F"/>
    <w:rsid w:val="008D4687"/>
    <w:rsid w:val="008E0EC9"/>
    <w:rsid w:val="008F3A59"/>
    <w:rsid w:val="009061CF"/>
    <w:rsid w:val="0093244C"/>
    <w:rsid w:val="00933123"/>
    <w:rsid w:val="0093657A"/>
    <w:rsid w:val="009405E4"/>
    <w:rsid w:val="009410CA"/>
    <w:rsid w:val="00951F20"/>
    <w:rsid w:val="00960E05"/>
    <w:rsid w:val="00974D49"/>
    <w:rsid w:val="00980183"/>
    <w:rsid w:val="0098255E"/>
    <w:rsid w:val="009853C7"/>
    <w:rsid w:val="00995F11"/>
    <w:rsid w:val="009960AC"/>
    <w:rsid w:val="009B00F2"/>
    <w:rsid w:val="009B2F5C"/>
    <w:rsid w:val="009D2EE0"/>
    <w:rsid w:val="009D39F6"/>
    <w:rsid w:val="009D3DFC"/>
    <w:rsid w:val="009D6425"/>
    <w:rsid w:val="009F6C11"/>
    <w:rsid w:val="00A02453"/>
    <w:rsid w:val="00A21D09"/>
    <w:rsid w:val="00A26F38"/>
    <w:rsid w:val="00A460A2"/>
    <w:rsid w:val="00A50B47"/>
    <w:rsid w:val="00A51B3C"/>
    <w:rsid w:val="00A6379B"/>
    <w:rsid w:val="00A76900"/>
    <w:rsid w:val="00A82975"/>
    <w:rsid w:val="00A83593"/>
    <w:rsid w:val="00A83B6F"/>
    <w:rsid w:val="00A8647E"/>
    <w:rsid w:val="00AB567A"/>
    <w:rsid w:val="00AB7DF6"/>
    <w:rsid w:val="00AB7FEC"/>
    <w:rsid w:val="00B007BB"/>
    <w:rsid w:val="00B1403B"/>
    <w:rsid w:val="00B142FD"/>
    <w:rsid w:val="00B3602B"/>
    <w:rsid w:val="00B42014"/>
    <w:rsid w:val="00B43020"/>
    <w:rsid w:val="00B44EDB"/>
    <w:rsid w:val="00B46009"/>
    <w:rsid w:val="00B63F7E"/>
    <w:rsid w:val="00B67A4F"/>
    <w:rsid w:val="00B7045E"/>
    <w:rsid w:val="00B7173A"/>
    <w:rsid w:val="00B7357A"/>
    <w:rsid w:val="00B81146"/>
    <w:rsid w:val="00B84420"/>
    <w:rsid w:val="00B84D2F"/>
    <w:rsid w:val="00B8708B"/>
    <w:rsid w:val="00BA7A6A"/>
    <w:rsid w:val="00BB246F"/>
    <w:rsid w:val="00BD44D1"/>
    <w:rsid w:val="00BE1F1B"/>
    <w:rsid w:val="00C453AB"/>
    <w:rsid w:val="00C67819"/>
    <w:rsid w:val="00C803C6"/>
    <w:rsid w:val="00C85CC2"/>
    <w:rsid w:val="00C876C7"/>
    <w:rsid w:val="00C938F0"/>
    <w:rsid w:val="00C94D17"/>
    <w:rsid w:val="00C95ADF"/>
    <w:rsid w:val="00CA665C"/>
    <w:rsid w:val="00CB066B"/>
    <w:rsid w:val="00CC05F3"/>
    <w:rsid w:val="00CC4CF5"/>
    <w:rsid w:val="00CD0B6F"/>
    <w:rsid w:val="00CD439E"/>
    <w:rsid w:val="00CE6BFA"/>
    <w:rsid w:val="00D16E51"/>
    <w:rsid w:val="00D23B63"/>
    <w:rsid w:val="00D263AA"/>
    <w:rsid w:val="00D3314E"/>
    <w:rsid w:val="00D4655D"/>
    <w:rsid w:val="00D95016"/>
    <w:rsid w:val="00D9519D"/>
    <w:rsid w:val="00DA0F20"/>
    <w:rsid w:val="00DA200F"/>
    <w:rsid w:val="00DA4131"/>
    <w:rsid w:val="00DC573F"/>
    <w:rsid w:val="00DD480A"/>
    <w:rsid w:val="00DD7135"/>
    <w:rsid w:val="00DE440C"/>
    <w:rsid w:val="00DF1DB0"/>
    <w:rsid w:val="00E02E3F"/>
    <w:rsid w:val="00E03986"/>
    <w:rsid w:val="00E07BED"/>
    <w:rsid w:val="00E169BF"/>
    <w:rsid w:val="00E16F58"/>
    <w:rsid w:val="00E178C6"/>
    <w:rsid w:val="00E21614"/>
    <w:rsid w:val="00E36EAD"/>
    <w:rsid w:val="00E522DC"/>
    <w:rsid w:val="00E5747C"/>
    <w:rsid w:val="00E66F41"/>
    <w:rsid w:val="00E673F1"/>
    <w:rsid w:val="00E70BB1"/>
    <w:rsid w:val="00E80A36"/>
    <w:rsid w:val="00EA67D0"/>
    <w:rsid w:val="00EA71DE"/>
    <w:rsid w:val="00EB4A1B"/>
    <w:rsid w:val="00EB4E9D"/>
    <w:rsid w:val="00ED1FD1"/>
    <w:rsid w:val="00ED5FDF"/>
    <w:rsid w:val="00EE6A6E"/>
    <w:rsid w:val="00EE6D07"/>
    <w:rsid w:val="00EE77DE"/>
    <w:rsid w:val="00EF4817"/>
    <w:rsid w:val="00EF4A37"/>
    <w:rsid w:val="00F00A81"/>
    <w:rsid w:val="00F07FF9"/>
    <w:rsid w:val="00F25962"/>
    <w:rsid w:val="00F307EB"/>
    <w:rsid w:val="00F34A24"/>
    <w:rsid w:val="00F4039C"/>
    <w:rsid w:val="00F4115E"/>
    <w:rsid w:val="00F41EAD"/>
    <w:rsid w:val="00F56BE2"/>
    <w:rsid w:val="00F611A8"/>
    <w:rsid w:val="00F621B1"/>
    <w:rsid w:val="00F64857"/>
    <w:rsid w:val="00F7136C"/>
    <w:rsid w:val="00F842DC"/>
    <w:rsid w:val="00FA1B1E"/>
    <w:rsid w:val="00FA4579"/>
    <w:rsid w:val="00FA76BA"/>
    <w:rsid w:val="00FC12C2"/>
    <w:rsid w:val="00FE4A3D"/>
    <w:rsid w:val="00FF33B2"/>
    <w:rsid w:val="00FF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EE726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19DF"/>
    <w:rPr>
      <w:sz w:val="24"/>
      <w:lang w:eastAsia="en-US"/>
    </w:rPr>
  </w:style>
  <w:style w:type="paragraph" w:styleId="Heading1">
    <w:name w:val="heading 1"/>
    <w:aliases w:val="Požiadavka 1,h1"/>
    <w:basedOn w:val="Normal"/>
    <w:next w:val="Normal"/>
    <w:link w:val="Heading1Char"/>
    <w:qFormat/>
    <w:rsid w:val="007419DF"/>
    <w:pPr>
      <w:keepNext/>
      <w:spacing w:before="120"/>
      <w:outlineLvl w:val="0"/>
    </w:pPr>
    <w:rPr>
      <w:rFonts w:ascii="Arial" w:hAnsi="Arial"/>
      <w:b/>
      <w:position w:val="4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E6A6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419DF"/>
    <w:pPr>
      <w:tabs>
        <w:tab w:val="center" w:pos="4536"/>
        <w:tab w:val="right" w:pos="9072"/>
      </w:tabs>
    </w:pPr>
    <w:rPr>
      <w:szCs w:val="24"/>
    </w:rPr>
  </w:style>
  <w:style w:type="paragraph" w:customStyle="1" w:styleId="weeklies">
    <w:name w:val="weeklies"/>
    <w:basedOn w:val="Normal"/>
    <w:next w:val="Normal"/>
    <w:rsid w:val="007419D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lang w:val="en-US"/>
    </w:rPr>
  </w:style>
  <w:style w:type="character" w:customStyle="1" w:styleId="Heading1Char">
    <w:name w:val="Heading 1 Char"/>
    <w:aliases w:val="Požiadavka 1 Char,h1 Char"/>
    <w:link w:val="Heading1"/>
    <w:locked/>
    <w:rsid w:val="007419DF"/>
    <w:rPr>
      <w:rFonts w:ascii="Arial" w:hAnsi="Arial"/>
      <w:b/>
      <w:position w:val="4"/>
      <w:sz w:val="28"/>
      <w:lang w:val="sk-SK" w:eastAsia="en-US" w:bidi="ar-SA"/>
    </w:rPr>
  </w:style>
  <w:style w:type="paragraph" w:styleId="Footer">
    <w:name w:val="footer"/>
    <w:basedOn w:val="Normal"/>
    <w:rsid w:val="007419D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9061CF"/>
    <w:rPr>
      <w:rFonts w:ascii="Tahoma" w:hAnsi="Tahoma" w:cs="Tahoma"/>
      <w:sz w:val="16"/>
      <w:szCs w:val="16"/>
    </w:rPr>
  </w:style>
  <w:style w:type="character" w:styleId="Strong">
    <w:name w:val="Strong"/>
    <w:qFormat/>
    <w:rsid w:val="00ED1FD1"/>
    <w:rPr>
      <w:b/>
      <w:bCs/>
    </w:rPr>
  </w:style>
  <w:style w:type="paragraph" w:styleId="BodyTextIndent2">
    <w:name w:val="Body Text Indent 2"/>
    <w:basedOn w:val="Normal"/>
    <w:rsid w:val="0087235C"/>
    <w:pPr>
      <w:ind w:left="708"/>
      <w:jc w:val="both"/>
    </w:pPr>
  </w:style>
  <w:style w:type="paragraph" w:customStyle="1" w:styleId="Textvtabulce">
    <w:name w:val="Text v tabulce"/>
    <w:basedOn w:val="Normal"/>
    <w:rsid w:val="00FA76BA"/>
    <w:rPr>
      <w:lang w:val="cs-CZ" w:eastAsia="cs-CZ"/>
    </w:rPr>
  </w:style>
  <w:style w:type="paragraph" w:styleId="PlainText">
    <w:name w:val="Plain Text"/>
    <w:basedOn w:val="Normal"/>
    <w:link w:val="PlainTextChar"/>
    <w:rsid w:val="00AB7DF6"/>
    <w:rPr>
      <w:rFonts w:ascii="Courier New" w:hAnsi="Courier New"/>
      <w:sz w:val="20"/>
    </w:rPr>
  </w:style>
  <w:style w:type="character" w:customStyle="1" w:styleId="PlainTextChar">
    <w:name w:val="Plain Text Char"/>
    <w:link w:val="PlainText"/>
    <w:semiHidden/>
    <w:locked/>
    <w:rsid w:val="00AB7DF6"/>
    <w:rPr>
      <w:rFonts w:ascii="Courier New" w:hAnsi="Courier New"/>
      <w:lang w:val="sk-SK" w:eastAsia="en-US" w:bidi="ar-SA"/>
    </w:rPr>
  </w:style>
  <w:style w:type="character" w:styleId="CommentReference">
    <w:name w:val="annotation reference"/>
    <w:semiHidden/>
    <w:rsid w:val="0014590E"/>
    <w:rPr>
      <w:sz w:val="16"/>
      <w:szCs w:val="16"/>
    </w:rPr>
  </w:style>
  <w:style w:type="paragraph" w:styleId="CommentText">
    <w:name w:val="annotation text"/>
    <w:basedOn w:val="Normal"/>
    <w:semiHidden/>
    <w:rsid w:val="0014590E"/>
    <w:rPr>
      <w:sz w:val="20"/>
    </w:rPr>
  </w:style>
  <w:style w:type="paragraph" w:styleId="CommentSubject">
    <w:name w:val="annotation subject"/>
    <w:basedOn w:val="CommentText"/>
    <w:next w:val="CommentText"/>
    <w:semiHidden/>
    <w:rsid w:val="0014590E"/>
    <w:rPr>
      <w:b/>
      <w:bCs/>
    </w:rPr>
  </w:style>
  <w:style w:type="character" w:customStyle="1" w:styleId="hgkelc">
    <w:name w:val="hgkelc"/>
    <w:rsid w:val="00561C44"/>
  </w:style>
  <w:style w:type="character" w:customStyle="1" w:styleId="cf01">
    <w:name w:val="cf01"/>
    <w:rsid w:val="00BE1F1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rsid w:val="00BE1F1B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rsid w:val="00BE1F1B"/>
    <w:rPr>
      <w:rFonts w:ascii="Segoe UI" w:hAnsi="Segoe UI" w:cs="Segoe UI" w:hint="default"/>
      <w:sz w:val="18"/>
      <w:szCs w:val="18"/>
      <w:shd w:val="clear" w:color="auto" w:fill="FFFF00"/>
    </w:rPr>
  </w:style>
  <w:style w:type="character" w:styleId="Hyperlink">
    <w:name w:val="Hyperlink"/>
    <w:uiPriority w:val="99"/>
    <w:unhideWhenUsed/>
    <w:rsid w:val="00A82975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844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sk-SK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84420"/>
    <w:rPr>
      <w:rFonts w:ascii="Courier New" w:hAnsi="Courier New" w:cs="Courier New"/>
      <w:lang w:eastAsia="sk-SK"/>
    </w:rPr>
  </w:style>
  <w:style w:type="character" w:customStyle="1" w:styleId="y2iqfc">
    <w:name w:val="y2iqfc"/>
    <w:basedOn w:val="DefaultParagraphFont"/>
    <w:rsid w:val="00B84420"/>
  </w:style>
  <w:style w:type="paragraph" w:styleId="Revision">
    <w:name w:val="Revision"/>
    <w:hidden/>
    <w:uiPriority w:val="99"/>
    <w:semiHidden/>
    <w:rsid w:val="000B594E"/>
    <w:rPr>
      <w:sz w:val="24"/>
      <w:lang w:eastAsia="en-US"/>
    </w:rPr>
  </w:style>
  <w:style w:type="paragraph" w:customStyle="1" w:styleId="Nadpis5-ploha">
    <w:name w:val="Nadpis 5-příloha"/>
    <w:basedOn w:val="Heading5"/>
    <w:uiPriority w:val="99"/>
    <w:rsid w:val="00EE6A6E"/>
    <w:pPr>
      <w:keepLines w:val="0"/>
      <w:spacing w:before="120" w:after="120"/>
      <w:jc w:val="both"/>
    </w:pPr>
    <w:rPr>
      <w:rFonts w:ascii="Times New Roman" w:eastAsia="Times New Roman" w:hAnsi="Times New Roman" w:cs="Times New Roman"/>
      <w:b/>
      <w:color w:val="auto"/>
      <w:lang w:val="cs-CZ" w:eastAsia="cs-CZ"/>
    </w:rPr>
  </w:style>
  <w:style w:type="character" w:customStyle="1" w:styleId="Heading5Char">
    <w:name w:val="Heading 5 Char"/>
    <w:basedOn w:val="DefaultParagraphFont"/>
    <w:link w:val="Heading5"/>
    <w:semiHidden/>
    <w:rsid w:val="00EE6A6E"/>
    <w:rPr>
      <w:rFonts w:asciiTheme="majorHAnsi" w:eastAsiaTheme="majorEastAsia" w:hAnsiTheme="majorHAnsi" w:cstheme="majorBidi"/>
      <w:color w:val="2F5496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2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E86AD-5CA7-4AF4-A43A-20C66D6F9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2948</Words>
  <Characters>16807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2023-07-28T08:18:00Z</dcterms:created>
  <dcterms:modified xsi:type="dcterms:W3CDTF">2023-08-25T08:02:00Z</dcterms:modified>
</cp:coreProperties>
</file>