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DB204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E61460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E61460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092BD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5825D804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Cena za službu Podpora</w:t>
      </w:r>
      <w:r w:rsidR="003A22A4">
        <w:rPr>
          <w:rFonts w:ascii="Cambria" w:hAnsi="Cambria"/>
          <w:color w:val="000000"/>
          <w:sz w:val="20"/>
          <w:szCs w:val="20"/>
          <w:lang w:val="sk-SK"/>
        </w:rPr>
        <w:t>,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Údržba</w:t>
      </w:r>
      <w:r w:rsidR="003A22A4">
        <w:rPr>
          <w:rFonts w:ascii="Cambria" w:hAnsi="Cambria"/>
          <w:color w:val="000000"/>
          <w:sz w:val="20"/>
          <w:szCs w:val="20"/>
          <w:lang w:val="sk-SK"/>
        </w:rPr>
        <w:t xml:space="preserve"> a</w:t>
      </w:r>
      <w:r w:rsidR="003A22A4" w:rsidRPr="003A22A4">
        <w:rPr>
          <w:rFonts w:ascii="Cambria" w:hAnsi="Cambria"/>
          <w:color w:val="000000"/>
          <w:sz w:val="20"/>
          <w:szCs w:val="20"/>
          <w:lang w:val="sk-SK"/>
        </w:rPr>
        <w:t xml:space="preserve"> Implementácia SAP Notes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360B2B4" w:rsidR="00B97575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  <w:r w:rsidR="00626926" w:rsidRPr="000E14DB">
        <w:rPr>
          <w:rFonts w:ascii="Cambria" w:hAnsi="Cambria"/>
          <w:b/>
          <w:bCs/>
          <w:sz w:val="20"/>
          <w:szCs w:val="20"/>
          <w:lang w:val="sk-SK"/>
        </w:rPr>
        <w:t xml:space="preserve">a Implementácia </w:t>
      </w:r>
      <w:r w:rsidR="00626926" w:rsidRPr="00E73EB7">
        <w:rPr>
          <w:rFonts w:ascii="Cambria" w:hAnsi="Cambria"/>
          <w:b/>
          <w:bCs/>
          <w:sz w:val="20"/>
          <w:szCs w:val="20"/>
          <w:lang w:val="sk-SK"/>
        </w:rPr>
        <w:t xml:space="preserve">SAP Notes </w:t>
      </w:r>
    </w:p>
    <w:p w14:paraId="1B82F383" w14:textId="77777777" w:rsidR="00150FBF" w:rsidRPr="00092BD7" w:rsidRDefault="00150FBF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092BD7" w14:paraId="2A423911" w14:textId="77777777" w:rsidTr="00626926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62692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0C27220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</w:t>
            </w:r>
            <w:r w:rsid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,</w:t>
            </w:r>
            <w:r w:rsidR="000245CA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Údržba</w:t>
            </w:r>
            <w:r w:rsid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a </w:t>
            </w:r>
            <w:r w:rsidR="000245CA" w:rsidRP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Implementácia SAP Notes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62692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AE7406" w:rsidRDefault="00260D02" w:rsidP="001A5CB5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6269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AE7406" w:rsidRDefault="00260D02" w:rsidP="001A5CB5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17B2B1E5" w14:textId="77777777" w:rsidTr="006269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91BE6A9" w14:textId="6446E2BD" w:rsidR="00626926" w:rsidRPr="00092BD7" w:rsidRDefault="00626926" w:rsidP="00626926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E6CA8CD" w14:textId="079D5857" w:rsidR="00626926" w:rsidRPr="00092BD7" w:rsidRDefault="00626926" w:rsidP="00626926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09949E49" w14:textId="3131F527" w:rsidR="00626926" w:rsidRPr="00626926" w:rsidRDefault="00626926" w:rsidP="00626926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službu Implementácia SAP Notes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8919E2" w14:textId="19CEABFB" w:rsidR="00626926" w:rsidRPr="00AE7406" w:rsidRDefault="00626926" w:rsidP="00626926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3D1E924C" w14:textId="77777777" w:rsidTr="00626926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626926" w:rsidRPr="00092BD7" w:rsidRDefault="00626926" w:rsidP="006269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7AA1812C" w14:textId="4E74E526" w:rsidR="00626926" w:rsidRPr="00092BD7" w:rsidRDefault="00626926" w:rsidP="00626926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20E57CE8" w14:textId="77777777" w:rsidR="00626926" w:rsidRPr="00092BD7" w:rsidRDefault="00626926" w:rsidP="00626926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5FB8B77B" w:rsidR="00626926" w:rsidRPr="00092BD7" w:rsidRDefault="00626926" w:rsidP="00626926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626926" w:rsidRPr="00AE7406" w:rsidRDefault="00626926" w:rsidP="00626926">
            <w:pPr>
              <w:jc w:val="center"/>
              <w:rPr>
                <w:rFonts w:ascii="Cambria" w:hAnsi="Cambria"/>
                <w:b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6EDA108D" w14:textId="77777777" w:rsidTr="00626926">
        <w:trPr>
          <w:trHeight w:val="1138"/>
        </w:trPr>
        <w:tc>
          <w:tcPr>
            <w:tcW w:w="9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626926" w:rsidRPr="00092BD7" w:rsidRDefault="00626926" w:rsidP="006269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</w:p>
        </w:tc>
        <w:tc>
          <w:tcPr>
            <w:tcW w:w="628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1B60AF45" w:rsidR="00626926" w:rsidRPr="00092BD7" w:rsidRDefault="00626926" w:rsidP="00626926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</w:t>
            </w:r>
            <w:r w:rsidR="000245CA">
              <w:rPr>
                <w:rFonts w:ascii="Cambria" w:hAnsi="Cambria" w:cs="Arial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Údržba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a </w:t>
            </w:r>
            <w:r w:rsidRP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>Implementácia SAP Notes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počas doby </w:t>
            </w:r>
            <w:r w:rsidR="00CD3BAC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  <w:r w:rsidR="0051724A">
              <w:rPr>
                <w:rFonts w:ascii="Cambria" w:hAnsi="Cambria" w:cs="Arial"/>
                <w:sz w:val="20"/>
                <w:szCs w:val="20"/>
                <w:lang w:val="sk-SK" w:eastAsia="sk-SK"/>
              </w:rPr>
              <w:t>6</w:t>
            </w:r>
            <w:r w:rsidR="00CD3BAC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mesiacov vypočítaná ako súčet cien služby Podpora a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 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Údržba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 Implementácia SAP Notes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vynásobená počtom mesiacov</w:t>
            </w:r>
          </w:p>
          <w:p w14:paraId="151E13A3" w14:textId="4F29EE64" w:rsidR="00626926" w:rsidRPr="00092BD7" w:rsidRDefault="00626926" w:rsidP="00626926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 = (SC1 + SC2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+ SC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) x </w:t>
            </w:r>
            <w:r w:rsidR="00CD3BAC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  <w:r w:rsidR="0051724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6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626926" w:rsidRPr="00AE7406" w:rsidRDefault="00626926" w:rsidP="00626926">
            <w:pPr>
              <w:jc w:val="center"/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3F46DBBF" w:rsidR="00F96EEF" w:rsidRDefault="00EC18A9" w:rsidP="00EC18A9">
      <w:pPr>
        <w:ind w:hanging="11"/>
        <w:rPr>
          <w:rFonts w:asciiTheme="majorHAnsi" w:hAnsiTheme="majorHAnsi"/>
          <w:b/>
          <w:bCs/>
          <w:sz w:val="20"/>
          <w:szCs w:val="20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626926" w:rsidRPr="000E14DB">
        <w:rPr>
          <w:rFonts w:ascii="Cambria" w:hAnsi="Cambria"/>
          <w:b/>
          <w:bCs/>
          <w:sz w:val="20"/>
          <w:szCs w:val="20"/>
          <w:lang w:val="sk-SK"/>
        </w:rPr>
        <w:t>a Implementácia SAP Notes</w:t>
      </w:r>
      <w:r w:rsidR="0062692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p w14:paraId="6DC7FA7D" w14:textId="77777777" w:rsidR="00150FBF" w:rsidRPr="00092BD7" w:rsidRDefault="00150FBF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626926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62692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4F363DB5" w:rsidR="00A42853" w:rsidRPr="00092BD7" w:rsidRDefault="000245CA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Paušálne služby – služby Podpora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Údržba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a </w:t>
            </w:r>
            <w:r w:rsidRP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Implementácia SAP Notes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62692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40158A02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434FB4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AE7406" w:rsidRDefault="00A42853" w:rsidP="00534AAB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6269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230CDD1C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434FB4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AE7406" w:rsidRDefault="00A42853" w:rsidP="00534AAB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139E649C" w14:textId="77777777" w:rsidTr="006269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08AEE7E" w14:textId="36423FEB" w:rsidR="00626926" w:rsidRPr="00092BD7" w:rsidRDefault="00626926" w:rsidP="00626926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434FB4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CEC3AD5" w14:textId="09F29AB6" w:rsidR="00626926" w:rsidRPr="00092BD7" w:rsidRDefault="00626926" w:rsidP="00626926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7D99B5CC" w14:textId="3AEB3F73" w:rsidR="00626926" w:rsidRPr="00092BD7" w:rsidRDefault="00626926" w:rsidP="00626926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službu Implementácia SAP Notes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04AB3" w14:textId="0FD2CE9C" w:rsidR="00626926" w:rsidRPr="00AE7406" w:rsidRDefault="00626926" w:rsidP="00626926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7F61B094" w14:textId="77777777" w:rsidTr="00626926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626926" w:rsidRPr="00092BD7" w:rsidRDefault="00626926" w:rsidP="006269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588A0F86" w14:textId="77777777" w:rsidR="00626926" w:rsidRPr="00092BD7" w:rsidRDefault="00626926" w:rsidP="00B86894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626926" w:rsidRPr="00092BD7" w:rsidRDefault="00626926" w:rsidP="00B86894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4CAE804D" w:rsidR="00626926" w:rsidRPr="00B86894" w:rsidRDefault="00626926" w:rsidP="00B86894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2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626926" w:rsidRPr="00AE7406" w:rsidRDefault="00626926" w:rsidP="00626926">
            <w:pPr>
              <w:jc w:val="center"/>
              <w:rPr>
                <w:rFonts w:ascii="Cambria" w:hAnsi="Cambria"/>
                <w:b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26926" w:rsidRPr="00092BD7" w14:paraId="32BABEC7" w14:textId="77777777" w:rsidTr="00626926">
        <w:trPr>
          <w:trHeight w:val="1138"/>
        </w:trPr>
        <w:tc>
          <w:tcPr>
            <w:tcW w:w="9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1C01B0B" w14:textId="3E60967C" w:rsidR="00626926" w:rsidRPr="00092BD7" w:rsidRDefault="00626926" w:rsidP="006269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1DA69D0" w14:textId="6EEA33C0" w:rsidR="00626926" w:rsidRPr="00092BD7" w:rsidRDefault="00626926" w:rsidP="00626926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</w:t>
            </w:r>
            <w:r w:rsidR="000245CA">
              <w:rPr>
                <w:rFonts w:ascii="Cambria" w:hAnsi="Cambria" w:cs="Arial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Údržba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a </w:t>
            </w:r>
            <w:r w:rsidRP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>Implementácia SAP Notes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počas doby </w:t>
            </w:r>
            <w:r w:rsidR="00434FB4">
              <w:rPr>
                <w:rFonts w:ascii="Cambria" w:hAnsi="Cambria" w:cs="Arial"/>
                <w:sz w:val="20"/>
                <w:szCs w:val="20"/>
                <w:lang w:val="sk-SK" w:eastAsia="sk-SK"/>
              </w:rPr>
              <w:t>12</w:t>
            </w:r>
            <w:r w:rsidR="00434FB4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mesiacov vypočítaná ako súčet cien služby Podpora a Údržba vynásobená počtom mesiacov</w:t>
            </w:r>
          </w:p>
          <w:p w14:paraId="531A0ADB" w14:textId="0F9CE712" w:rsidR="00626926" w:rsidRPr="00092BD7" w:rsidRDefault="00626926" w:rsidP="00626926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= (SCO</w:t>
            </w:r>
            <w:r w:rsidR="00434FB4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1 + SCO</w:t>
            </w:r>
            <w:r w:rsidR="00434FB4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2</w:t>
            </w:r>
            <w:r w:rsidR="0057050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+ SCO</w:t>
            </w:r>
            <w:r w:rsidR="00434FB4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1 </w:t>
            </w:r>
            <w:r w:rsidR="0057050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) x </w:t>
            </w:r>
            <w:r w:rsidR="00434FB4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12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291F598A" w14:textId="77777777" w:rsidR="00626926" w:rsidRPr="00AE7406" w:rsidRDefault="00626926" w:rsidP="00626926">
            <w:pPr>
              <w:jc w:val="center"/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52A825" w14:textId="21C1EDBF" w:rsidR="00593945" w:rsidRDefault="00593945">
      <w:pPr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br w:type="page"/>
      </w:r>
    </w:p>
    <w:p w14:paraId="27CA75C1" w14:textId="77777777" w:rsidR="005E7FE2" w:rsidRDefault="005E7FE2" w:rsidP="00434FB4">
      <w:pPr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58779379" w14:textId="25C59467" w:rsidR="00434FB4" w:rsidRPr="000E14DB" w:rsidRDefault="00434FB4" w:rsidP="005C2562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</w:t>
      </w:r>
      <w:r w:rsidRPr="000E14DB">
        <w:rPr>
          <w:rFonts w:ascii="Cambria" w:hAnsi="Cambria"/>
          <w:b/>
          <w:bCs/>
          <w:sz w:val="20"/>
          <w:szCs w:val="20"/>
          <w:lang w:val="sk-SK"/>
        </w:rPr>
        <w:t>a Implementácia SAP Notes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6E58305D" w14:textId="77777777" w:rsidR="003A22A4" w:rsidRPr="00092BD7" w:rsidRDefault="003A22A4" w:rsidP="00434FB4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073DD3" w:rsidRPr="00092BD7" w14:paraId="7B843218" w14:textId="77777777" w:rsidTr="00EA1DE2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7E615DEC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85D262F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88ED83B" w14:textId="77777777" w:rsidR="00434FB4" w:rsidRPr="00092BD7" w:rsidRDefault="00434FB4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073DD3" w:rsidRPr="00092BD7" w14:paraId="2CD21CFC" w14:textId="77777777" w:rsidTr="00EA1DE2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1B88A606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455F909" w14:textId="29D03547" w:rsidR="00434FB4" w:rsidRPr="00092BD7" w:rsidRDefault="000245CA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Paušálne služby – služby Podpora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Údržba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a </w:t>
            </w:r>
            <w:r w:rsidRP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Implementácia SAP Notes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13FCBB3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073DD3" w:rsidRPr="00092BD7" w14:paraId="686861C7" w14:textId="77777777" w:rsidTr="00EA1DE2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576B0ED" w14:textId="16A8D93D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56E3477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0FDF6DD5" w14:textId="77777777" w:rsidR="00434FB4" w:rsidRPr="00092BD7" w:rsidRDefault="00434FB4" w:rsidP="00EA1DE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854B7D" w14:textId="77777777" w:rsidR="00434FB4" w:rsidRPr="00AE7406" w:rsidRDefault="00434FB4" w:rsidP="00EA1DE2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73DD3" w:rsidRPr="00092BD7" w14:paraId="752BD84D" w14:textId="77777777" w:rsidTr="00EA1DE2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91F762C" w14:textId="148C719C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7058001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390C7051" w14:textId="77777777" w:rsidR="00434FB4" w:rsidRPr="00092BD7" w:rsidRDefault="00434FB4" w:rsidP="00EA1DE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DB7FB" w14:textId="77777777" w:rsidR="00434FB4" w:rsidRPr="00AE7406" w:rsidRDefault="00434FB4" w:rsidP="00EA1DE2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73DD3" w:rsidRPr="00092BD7" w14:paraId="06BA22C1" w14:textId="77777777" w:rsidTr="00EA1DE2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73DF1A2" w14:textId="0D025F78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E6B8AED" w14:textId="77777777" w:rsidR="00434FB4" w:rsidRPr="00092BD7" w:rsidRDefault="00434FB4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3EBD6CFB" w14:textId="77777777" w:rsidR="00434FB4" w:rsidRPr="00092BD7" w:rsidRDefault="00434FB4" w:rsidP="00EA1DE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E73EB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službu Implementácia SAP Notes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0AAC95" w14:textId="77777777" w:rsidR="00434FB4" w:rsidRPr="00AE7406" w:rsidRDefault="00434FB4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73DD3" w:rsidRPr="00092BD7" w14:paraId="28D2F4AB" w14:textId="77777777" w:rsidTr="00EA1DE2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C38F7FE" w14:textId="46C52D33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008E7949" w14:textId="77777777" w:rsidR="00434FB4" w:rsidRPr="00092BD7" w:rsidRDefault="00434FB4" w:rsidP="00EA1DE2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74CF86DC" w14:textId="77777777" w:rsidR="00434FB4" w:rsidRPr="00092BD7" w:rsidRDefault="00434FB4" w:rsidP="00EA1DE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58759F9B" w14:textId="3FF178C6" w:rsidR="00434FB4" w:rsidRPr="00092BD7" w:rsidRDefault="00434FB4" w:rsidP="00EA1DE2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C13429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2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2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2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2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8E217" w14:textId="77777777" w:rsidR="00434FB4" w:rsidRPr="00AE7406" w:rsidRDefault="00434FB4" w:rsidP="00EA1DE2">
            <w:pPr>
              <w:jc w:val="center"/>
              <w:rPr>
                <w:rFonts w:ascii="Cambria" w:hAnsi="Cambria"/>
                <w:b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73DD3" w:rsidRPr="00092BD7" w14:paraId="24C06E23" w14:textId="77777777" w:rsidTr="00EA1DE2">
        <w:trPr>
          <w:trHeight w:val="1138"/>
        </w:trPr>
        <w:tc>
          <w:tcPr>
            <w:tcW w:w="9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E0EEBC0" w14:textId="386CF30A" w:rsidR="00434FB4" w:rsidRPr="00092BD7" w:rsidRDefault="00434FB4" w:rsidP="00EA1D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3D76DCF2" w14:textId="3398A741" w:rsidR="00434FB4" w:rsidRPr="00092BD7" w:rsidRDefault="00434FB4" w:rsidP="00EA1DE2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</w:t>
            </w:r>
            <w:r w:rsidR="000245CA">
              <w:rPr>
                <w:rFonts w:ascii="Cambria" w:hAnsi="Cambria" w:cs="Arial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 Údržba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a </w:t>
            </w:r>
            <w:r w:rsidRPr="00E73EB7">
              <w:rPr>
                <w:rFonts w:ascii="Cambria" w:hAnsi="Cambria" w:cs="Arial"/>
                <w:sz w:val="20"/>
                <w:szCs w:val="20"/>
                <w:lang w:val="sk-SK" w:eastAsia="sk-SK"/>
              </w:rPr>
              <w:t>Implementácia SAP Notes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počas doby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vypočítaná ako súčet cien služby Podpora a Údržba vynásobená počtom mesiacov</w:t>
            </w:r>
          </w:p>
          <w:p w14:paraId="14071299" w14:textId="599B1283" w:rsidR="00434FB4" w:rsidRPr="00092BD7" w:rsidRDefault="00434FB4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= (SCO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1 + SCO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2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+ SCO2 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) x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12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6E613386" w14:textId="77777777" w:rsidR="00434FB4" w:rsidRPr="00AE7406" w:rsidRDefault="00434FB4" w:rsidP="00EA1DE2">
            <w:pPr>
              <w:jc w:val="center"/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52F2C5F" w14:textId="77777777" w:rsidR="00434FB4" w:rsidRDefault="00434FB4" w:rsidP="00434FB4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6F37A7FB" w14:textId="2C078A8E" w:rsidR="00CD3BAC" w:rsidRPr="000E14DB" w:rsidRDefault="00CD3BAC" w:rsidP="005C2562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d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</w:t>
      </w:r>
      <w:r w:rsidRPr="000E14DB">
        <w:rPr>
          <w:rFonts w:ascii="Cambria" w:hAnsi="Cambria"/>
          <w:b/>
          <w:bCs/>
          <w:sz w:val="20"/>
          <w:szCs w:val="20"/>
          <w:lang w:val="sk-SK"/>
        </w:rPr>
        <w:t>a Implementácia SAP Notes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– OPCIA </w:t>
      </w:r>
      <w:r>
        <w:rPr>
          <w:rFonts w:ascii="Cambria" w:hAnsi="Cambria"/>
          <w:b/>
          <w:bCs/>
          <w:sz w:val="20"/>
          <w:szCs w:val="20"/>
          <w:lang w:val="sk-SK"/>
        </w:rPr>
        <w:t>3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4534326F" w14:textId="77777777" w:rsidR="00CD3BAC" w:rsidRPr="00092BD7" w:rsidRDefault="00CD3BAC" w:rsidP="00CD3BAC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CD3BAC" w:rsidRPr="00092BD7" w14:paraId="1F8B1DA1" w14:textId="77777777" w:rsidTr="00607532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7E7F95AD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F9E0761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C8E060D" w14:textId="77777777" w:rsidR="00CD3BAC" w:rsidRPr="00092BD7" w:rsidRDefault="00CD3BAC" w:rsidP="0060753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CD3BAC" w:rsidRPr="00092BD7" w14:paraId="06F0D728" w14:textId="77777777" w:rsidTr="00607532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36FC7B89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F1C0CA4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Paušálne služby – služby Podpora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Údržba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a </w:t>
            </w:r>
            <w:r w:rsidRPr="000245C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Implementácia SAP Notes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21DA933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CD3BAC" w:rsidRPr="00092BD7" w14:paraId="001EE148" w14:textId="77777777" w:rsidTr="00607532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07AD3E6" w14:textId="6797ADCB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63200B80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5F660B62" w14:textId="77777777" w:rsidR="00CD3BAC" w:rsidRPr="00092BD7" w:rsidRDefault="00CD3BAC" w:rsidP="0060753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CF9F4B" w14:textId="77777777" w:rsidR="00CD3BAC" w:rsidRPr="00AE7406" w:rsidRDefault="00CD3BAC" w:rsidP="00607532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D3BAC" w:rsidRPr="00092BD7" w14:paraId="4E308579" w14:textId="77777777" w:rsidTr="00607532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BB54340" w14:textId="16F25036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E1BBA7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75E8CFE1" w14:textId="77777777" w:rsidR="00CD3BAC" w:rsidRPr="00092BD7" w:rsidRDefault="00CD3BAC" w:rsidP="0060753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7BDF40" w14:textId="77777777" w:rsidR="00CD3BAC" w:rsidRPr="00AE7406" w:rsidRDefault="00CD3BAC" w:rsidP="00607532">
            <w:pPr>
              <w:jc w:val="center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D3BAC" w:rsidRPr="00092BD7" w14:paraId="376AABD5" w14:textId="77777777" w:rsidTr="00607532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67D4A19" w14:textId="451B4134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O3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F90846F" w14:textId="77777777" w:rsidR="00CD3BAC" w:rsidRPr="00092BD7" w:rsidRDefault="00CD3BAC" w:rsidP="0060753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663590FB" w14:textId="77777777" w:rsidR="00CD3BAC" w:rsidRPr="00092BD7" w:rsidRDefault="00CD3BAC" w:rsidP="0060753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E73EB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službu Implementácia SAP Notes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07D45C" w14:textId="77777777" w:rsidR="00CD3BAC" w:rsidRPr="00AE7406" w:rsidRDefault="00CD3BAC" w:rsidP="0060753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D3BAC" w:rsidRPr="00092BD7" w14:paraId="492B011A" w14:textId="77777777" w:rsidTr="00607532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24EDF20" w14:textId="00201ADF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O3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76D292CF" w14:textId="77777777" w:rsidR="00CD3BAC" w:rsidRPr="00092BD7" w:rsidRDefault="00CD3BAC" w:rsidP="00607532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0756F448" w14:textId="77777777" w:rsidR="00CD3BAC" w:rsidRPr="00092BD7" w:rsidRDefault="00CD3BAC" w:rsidP="00607532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2DE622FB" w14:textId="77777777" w:rsidR="00CD3BAC" w:rsidRPr="00092BD7" w:rsidRDefault="00CD3BAC" w:rsidP="00607532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 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O2 2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 3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D8D331" w14:textId="77777777" w:rsidR="00CD3BAC" w:rsidRPr="00AE7406" w:rsidRDefault="00CD3BAC" w:rsidP="00607532">
            <w:pPr>
              <w:jc w:val="center"/>
              <w:rPr>
                <w:rFonts w:ascii="Cambria" w:hAnsi="Cambria"/>
                <w:b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D3BAC" w:rsidRPr="00092BD7" w14:paraId="32ECEDAE" w14:textId="77777777" w:rsidTr="00607532">
        <w:trPr>
          <w:trHeight w:val="1138"/>
        </w:trPr>
        <w:tc>
          <w:tcPr>
            <w:tcW w:w="9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1D6177E" w14:textId="48969C23" w:rsidR="00CD3BAC" w:rsidRPr="00092BD7" w:rsidRDefault="00CD3BAC" w:rsidP="0060753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628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5D4FF677" w14:textId="77777777" w:rsidR="00CD3BAC" w:rsidRPr="00092BD7" w:rsidRDefault="00CD3BAC" w:rsidP="00607532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,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 Údržba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a </w:t>
            </w:r>
            <w:r w:rsidRPr="00E73EB7">
              <w:rPr>
                <w:rFonts w:ascii="Cambria" w:hAnsi="Cambria" w:cs="Arial"/>
                <w:sz w:val="20"/>
                <w:szCs w:val="20"/>
                <w:lang w:val="sk-SK" w:eastAsia="sk-SK"/>
              </w:rPr>
              <w:t>Implementácia SAP Notes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počas doby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vypočítaná ako súčet cien služby Podpora a Údržba vynásobená počtom mesiacov</w:t>
            </w:r>
          </w:p>
          <w:p w14:paraId="5FAF2E30" w14:textId="572625A9" w:rsidR="00CD3BAC" w:rsidRPr="00092BD7" w:rsidRDefault="00CD3BAC" w:rsidP="00607532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= (SCO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1 + SCO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2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+ SCO3 3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) x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12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5E8BC40C" w14:textId="77777777" w:rsidR="00CD3BAC" w:rsidRPr="00AE7406" w:rsidRDefault="00CD3BAC" w:rsidP="00607532">
            <w:pPr>
              <w:jc w:val="center"/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670693" w14:textId="77777777" w:rsidR="00CD3BAC" w:rsidRDefault="00CD3BAC" w:rsidP="00CD3BAC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77C7BE2E" w14:textId="77777777" w:rsidR="00D920EF" w:rsidRPr="00092BD7" w:rsidRDefault="00D920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12CF872C" w:rsidR="009F33C8" w:rsidRPr="00092BD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A6A6D2C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 a Doplnkové služby</w:t>
      </w:r>
    </w:p>
    <w:p w14:paraId="4D7172D7" w14:textId="12A9554D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4BDC5EFD" w14:textId="77777777" w:rsidR="002E42B7" w:rsidRDefault="002E42B7" w:rsidP="00B97575">
      <w:pPr>
        <w:spacing w:after="120"/>
        <w:rPr>
          <w:rFonts w:ascii="Cambria" w:hAnsi="Cambria" w:cs="Arial"/>
          <w:b/>
          <w:sz w:val="20"/>
          <w:szCs w:val="20"/>
          <w:lang w:val="sk-SK"/>
        </w:rPr>
      </w:pPr>
    </w:p>
    <w:p w14:paraId="35E11E63" w14:textId="3F2A6C5A" w:rsidR="002E42B7" w:rsidRDefault="002E42B7" w:rsidP="00B97575">
      <w:pPr>
        <w:spacing w:after="120"/>
        <w:rPr>
          <w:rFonts w:ascii="Cambria" w:hAnsi="Cambria" w:cs="Arial"/>
          <w:b/>
          <w:sz w:val="20"/>
          <w:szCs w:val="20"/>
          <w:lang w:val="sk-SK"/>
        </w:rPr>
      </w:pPr>
    </w:p>
    <w:p w14:paraId="598B9408" w14:textId="77777777" w:rsidR="005C2562" w:rsidRDefault="005C2562" w:rsidP="00B97575">
      <w:pPr>
        <w:spacing w:after="120"/>
        <w:rPr>
          <w:rFonts w:ascii="Cambria" w:hAnsi="Cambria" w:cs="Arial"/>
          <w:b/>
          <w:sz w:val="20"/>
          <w:szCs w:val="20"/>
          <w:lang w:val="sk-SK"/>
        </w:rPr>
      </w:pPr>
    </w:p>
    <w:p w14:paraId="2D303524" w14:textId="287F475A" w:rsidR="00B97575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2E097B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2E097B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1743"/>
        <w:gridCol w:w="1585"/>
        <w:gridCol w:w="3376"/>
        <w:gridCol w:w="2270"/>
      </w:tblGrid>
      <w:tr w:rsidR="0097143E" w:rsidRPr="00092BD7" w14:paraId="077D7A19" w14:textId="77777777" w:rsidTr="00B841D8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57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18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B841D8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755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2A20D7F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180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092BD7" w14:paraId="5C52E2C6" w14:textId="77777777" w:rsidTr="00B841D8">
        <w:trPr>
          <w:trHeight w:val="49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025546E1" w:rsidR="0097143E" w:rsidRPr="00092BD7" w:rsidRDefault="0031590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755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1F75E6F0" w:rsidR="0097143E" w:rsidRPr="00E73EB7" w:rsidRDefault="00B009AE" w:rsidP="00B8689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  <w:r w:rsidR="0051724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17</w:t>
            </w:r>
          </w:p>
        </w:tc>
        <w:tc>
          <w:tcPr>
            <w:tcW w:w="1180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AE7406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4B279F0C" w14:textId="77777777" w:rsidTr="00B841D8">
        <w:trPr>
          <w:trHeight w:val="495"/>
        </w:trPr>
        <w:tc>
          <w:tcPr>
            <w:tcW w:w="335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1C8CC62F" w:rsidR="0097143E" w:rsidRPr="00092BD7" w:rsidRDefault="0031590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755" w:type="pct"/>
            <w:shd w:val="clear" w:color="auto" w:fill="auto"/>
            <w:vAlign w:val="center"/>
          </w:tcPr>
          <w:p w14:paraId="106D8A4E" w14:textId="0E80B726" w:rsidR="0097143E" w:rsidRPr="00E73EB7" w:rsidRDefault="00B009AE" w:rsidP="00B8689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6</w:t>
            </w:r>
            <w:r w:rsidR="0051724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1180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AE7406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5D61F15B" w14:textId="77777777" w:rsidTr="00B841D8">
        <w:trPr>
          <w:trHeight w:val="495"/>
        </w:trPr>
        <w:tc>
          <w:tcPr>
            <w:tcW w:w="335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5F9BC580" w:rsidR="0097143E" w:rsidRPr="00092BD7" w:rsidRDefault="0031590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6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75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1DAFEA30" w:rsidR="0097143E" w:rsidRPr="00E73EB7" w:rsidRDefault="0057050F" w:rsidP="00B8689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E73EB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  <w:r w:rsidR="0051724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417</w:t>
            </w:r>
          </w:p>
        </w:tc>
        <w:tc>
          <w:tcPr>
            <w:tcW w:w="118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AE7406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2EAE2168" w14:textId="77777777" w:rsidTr="00B841D8">
        <w:trPr>
          <w:trHeight w:val="104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97143E" w:rsidRPr="00092BD7" w:rsidRDefault="0097143E" w:rsidP="0097143E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579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97143E" w:rsidRPr="00092BD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Predpokladaná celková cena za poskytnutie Objednávkových služieb počas doby</w:t>
            </w:r>
            <w:r w:rsidR="006A296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trvania Servisnej zmluvy</w:t>
            </w:r>
            <w:r w:rsidR="006A296A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  <w:p w14:paraId="00862E89" w14:textId="1FE19203" w:rsidR="0097143E" w:rsidRPr="00092BD7" w:rsidRDefault="0097143E" w:rsidP="005E7FE2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="00B009A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</w:t>
            </w:r>
            <w:r w:rsidR="0051724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17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 + (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="00B009A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="0051724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 + (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="0057050F"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="0051724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417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18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97143E" w:rsidRPr="00AE7406" w:rsidRDefault="0097143E" w:rsidP="0097143E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8D5EE87" w14:textId="77777777" w:rsidR="0097143E" w:rsidRPr="00092BD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3E9123FB" w14:textId="5D8A49A1" w:rsidR="00AC58CC" w:rsidRPr="00092BD7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  <w:r w:rsidR="002E097B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3317D96F" w14:textId="77777777" w:rsidR="00593945" w:rsidRDefault="00593945" w:rsidP="00593945">
      <w:pPr>
        <w:rPr>
          <w:rFonts w:ascii="Cambria" w:hAnsi="Cambria"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10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5"/>
        <w:gridCol w:w="1745"/>
        <w:gridCol w:w="1586"/>
        <w:gridCol w:w="3193"/>
        <w:gridCol w:w="2452"/>
      </w:tblGrid>
      <w:tr w:rsidR="00593945" w:rsidRPr="00092BD7" w14:paraId="1AE1E8CC" w14:textId="77777777" w:rsidTr="00B841D8">
        <w:trPr>
          <w:trHeight w:val="298"/>
        </w:trPr>
        <w:tc>
          <w:tcPr>
            <w:tcW w:w="131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4FD53DD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43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5870545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7E22CEA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593945" w:rsidRPr="00092BD7" w14:paraId="00E6D379" w14:textId="77777777" w:rsidTr="00B841D8">
        <w:trPr>
          <w:trHeight w:val="260"/>
        </w:trPr>
        <w:tc>
          <w:tcPr>
            <w:tcW w:w="131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67ACA124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4AEC368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2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F8B6B1D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1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298F474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593945" w:rsidRPr="00092BD7" w14:paraId="297C0519" w14:textId="77777777" w:rsidTr="00B841D8">
        <w:trPr>
          <w:trHeight w:val="49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24B6774" w14:textId="1D379BCD" w:rsidR="00593945" w:rsidRPr="00AE7406" w:rsidRDefault="00593945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B86894"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1CCA436" w14:textId="74B81CCE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09" w:type="pct"/>
            <w:tcBorders>
              <w:top w:val="single" w:sz="18" w:space="0" w:color="auto"/>
            </w:tcBorders>
            <w:noWrap/>
            <w:vAlign w:val="center"/>
          </w:tcPr>
          <w:p w14:paraId="72C46D24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2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9BE524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1251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B27D42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7497DD26" w14:textId="77777777" w:rsidTr="00B841D8">
        <w:trPr>
          <w:trHeight w:val="495"/>
        </w:trPr>
        <w:tc>
          <w:tcPr>
            <w:tcW w:w="421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5DC6BCC" w14:textId="1399B848" w:rsidR="00593945" w:rsidRPr="00AE7406" w:rsidRDefault="00593945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B86894"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8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4420312C" w14:textId="5635F78E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09" w:type="pct"/>
            <w:noWrap/>
            <w:vAlign w:val="center"/>
          </w:tcPr>
          <w:p w14:paraId="220B4A70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26338248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30</w:t>
            </w:r>
          </w:p>
        </w:tc>
        <w:tc>
          <w:tcPr>
            <w:tcW w:w="125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19C499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72ABCF24" w14:textId="77777777" w:rsidTr="00B841D8">
        <w:trPr>
          <w:trHeight w:val="495"/>
        </w:trPr>
        <w:tc>
          <w:tcPr>
            <w:tcW w:w="421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10BE428" w14:textId="1A209E5E" w:rsidR="00593945" w:rsidRPr="00AE7406" w:rsidRDefault="00593945" w:rsidP="00EA1DE2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B86894"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AE7406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8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03C94FE" w14:textId="6F66F200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6</w:t>
            </w:r>
          </w:p>
        </w:tc>
        <w:tc>
          <w:tcPr>
            <w:tcW w:w="809" w:type="pct"/>
            <w:tcBorders>
              <w:bottom w:val="single" w:sz="18" w:space="0" w:color="auto"/>
            </w:tcBorders>
            <w:noWrap/>
            <w:vAlign w:val="center"/>
          </w:tcPr>
          <w:p w14:paraId="6F2CB288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CA040B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2500</w:t>
            </w:r>
          </w:p>
        </w:tc>
        <w:tc>
          <w:tcPr>
            <w:tcW w:w="125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09DE8F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4D8B9BC6" w14:textId="77777777" w:rsidTr="00B841D8">
        <w:trPr>
          <w:trHeight w:val="104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443684F3" w14:textId="4CE38A40" w:rsidR="00593945" w:rsidRPr="00092BD7" w:rsidRDefault="00593945" w:rsidP="00E73EB7">
            <w:pPr>
              <w:ind w:right="-71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="00B86894" w:rsidRP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7A9740CE" w14:textId="77777777" w:rsidR="00593945" w:rsidRPr="00092BD7" w:rsidRDefault="00593945" w:rsidP="00EA1DE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43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79E1992" w14:textId="15E43148" w:rsidR="00593945" w:rsidRPr="00092BD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</w:t>
            </w:r>
            <w:r w:rsidR="000D682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v rámci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OPCIE </w:t>
            </w:r>
            <w:r w:rsidR="000D682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  <w:p w14:paraId="747D0609" w14:textId="77777777" w:rsidR="002E42B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</w:t>
            </w:r>
            <w:r w:rsidR="00B86894" w:rsidRP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1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x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1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 + (SC</w:t>
            </w:r>
            <w:r w:rsidR="00B86894" w:rsidRP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1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) </w:t>
            </w:r>
          </w:p>
          <w:p w14:paraId="2747BDE6" w14:textId="4ECB9E19" w:rsidR="00593945" w:rsidRPr="00092BD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+ (SC</w:t>
            </w:r>
            <w:r w:rsidR="00B86894" w:rsidRP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1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2500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25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064CDB74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0F45F2D" w14:textId="2F2970CD" w:rsidR="005E7FE2" w:rsidRDefault="005E7FE2">
      <w:pPr>
        <w:rPr>
          <w:rFonts w:ascii="Cambria" w:hAnsi="Cambria"/>
          <w:sz w:val="20"/>
          <w:szCs w:val="20"/>
          <w:lang w:val="sk-SK"/>
        </w:rPr>
      </w:pPr>
    </w:p>
    <w:p w14:paraId="63D931FA" w14:textId="77777777" w:rsidR="00150FBF" w:rsidRDefault="00150FBF">
      <w:pPr>
        <w:rPr>
          <w:rFonts w:ascii="Cambria" w:hAnsi="Cambria"/>
          <w:sz w:val="20"/>
          <w:szCs w:val="20"/>
          <w:lang w:val="sk-SK"/>
        </w:rPr>
      </w:pPr>
    </w:p>
    <w:p w14:paraId="12916ED1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14717362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568C23D0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1A8C815B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44742F18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59985D13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65E07E81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365C7141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28AA0B00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7E26B6B4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02BC1402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54D79F11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4A1118DC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02A55084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0EBF13D6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69852565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3DAB9BAD" w14:textId="77777777" w:rsidR="002E42B7" w:rsidRDefault="002E42B7" w:rsidP="005E7FE2">
      <w:pPr>
        <w:rPr>
          <w:rFonts w:ascii="Cambria" w:hAnsi="Cambria" w:cs="Arial"/>
          <w:b/>
          <w:sz w:val="20"/>
          <w:szCs w:val="20"/>
          <w:lang w:val="sk-SK"/>
        </w:rPr>
      </w:pPr>
    </w:p>
    <w:p w14:paraId="02DD98DD" w14:textId="5255B91E" w:rsidR="005E7FE2" w:rsidRPr="00092BD7" w:rsidRDefault="005E7FE2" w:rsidP="005E7FE2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 xml:space="preserve">TABUĽKA č. </w:t>
      </w:r>
      <w:r w:rsidR="00AE7406"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AE7406">
        <w:rPr>
          <w:rFonts w:ascii="Cambria" w:hAnsi="Cambria" w:cs="Arial"/>
          <w:b/>
          <w:sz w:val="20"/>
          <w:szCs w:val="20"/>
          <w:lang w:val="sk-SK"/>
        </w:rPr>
        <w:t>c</w:t>
      </w:r>
      <w:r w:rsidR="00AE7406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– OPCIA </w:t>
      </w:r>
      <w:r w:rsidR="00593945">
        <w:rPr>
          <w:rFonts w:ascii="Cambria" w:hAnsi="Cambria"/>
          <w:b/>
          <w:bCs/>
          <w:sz w:val="20"/>
          <w:szCs w:val="20"/>
          <w:lang w:val="sk-SK"/>
        </w:rPr>
        <w:t>2</w:t>
      </w:r>
      <w:r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4A0F0EB2" w14:textId="77777777" w:rsidR="000D682E" w:rsidRDefault="000D682E" w:rsidP="005E7FE2">
      <w:pPr>
        <w:rPr>
          <w:rFonts w:ascii="Cambria" w:hAnsi="Cambria"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10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5"/>
        <w:gridCol w:w="1745"/>
        <w:gridCol w:w="1586"/>
        <w:gridCol w:w="3193"/>
        <w:gridCol w:w="2452"/>
      </w:tblGrid>
      <w:tr w:rsidR="00593945" w:rsidRPr="00092BD7" w14:paraId="322D6DB7" w14:textId="77777777" w:rsidTr="00B841D8">
        <w:trPr>
          <w:trHeight w:val="298"/>
        </w:trPr>
        <w:tc>
          <w:tcPr>
            <w:tcW w:w="131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19A63CF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43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AF3C913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75C5AE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593945" w:rsidRPr="00092BD7" w14:paraId="0CCC3970" w14:textId="77777777" w:rsidTr="00B841D8">
        <w:trPr>
          <w:trHeight w:val="260"/>
        </w:trPr>
        <w:tc>
          <w:tcPr>
            <w:tcW w:w="131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3D6E697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3658F1EB" w14:textId="77777777" w:rsidR="00593945" w:rsidRPr="00092BD7" w:rsidRDefault="00593945" w:rsidP="00EA1DE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2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D458DA8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1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0580BDF" w14:textId="77777777" w:rsidR="00593945" w:rsidRPr="00092BD7" w:rsidRDefault="00593945" w:rsidP="00EA1DE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593945" w:rsidRPr="00092BD7" w14:paraId="06E47312" w14:textId="77777777" w:rsidTr="00B841D8">
        <w:trPr>
          <w:trHeight w:val="49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1C445D9" w14:textId="519173FC" w:rsidR="00593945" w:rsidRPr="00092BD7" w:rsidRDefault="00593945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1B8463D" w14:textId="439D3CBD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09" w:type="pct"/>
            <w:tcBorders>
              <w:top w:val="single" w:sz="18" w:space="0" w:color="auto"/>
            </w:tcBorders>
            <w:noWrap/>
            <w:vAlign w:val="center"/>
          </w:tcPr>
          <w:p w14:paraId="056B52AD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2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14F7963" w14:textId="7B476FB6" w:rsidR="00593945" w:rsidRPr="00092BD7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1251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F089D4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2C9EF48B" w14:textId="77777777" w:rsidTr="00B841D8">
        <w:trPr>
          <w:trHeight w:val="495"/>
        </w:trPr>
        <w:tc>
          <w:tcPr>
            <w:tcW w:w="421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51F2B72" w14:textId="58B06529" w:rsidR="00593945" w:rsidRPr="00092BD7" w:rsidRDefault="00593945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88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7D266D8" w14:textId="022FF761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09" w:type="pct"/>
            <w:noWrap/>
            <w:vAlign w:val="center"/>
          </w:tcPr>
          <w:p w14:paraId="7DC0294F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4FFDA86B" w14:textId="6FC445E4" w:rsidR="00593945" w:rsidRPr="00092BD7" w:rsidRDefault="00593945" w:rsidP="00EA1DE2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30</w:t>
            </w:r>
          </w:p>
        </w:tc>
        <w:tc>
          <w:tcPr>
            <w:tcW w:w="125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33004A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2C2E2231" w14:textId="77777777" w:rsidTr="00B841D8">
        <w:trPr>
          <w:trHeight w:val="495"/>
        </w:trPr>
        <w:tc>
          <w:tcPr>
            <w:tcW w:w="421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9185448" w14:textId="03E5D614" w:rsidR="00593945" w:rsidRPr="00092BD7" w:rsidRDefault="00B86894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88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5663B8D" w14:textId="0531FA1E" w:rsidR="00593945" w:rsidRPr="00092BD7" w:rsidRDefault="00010772" w:rsidP="00EA1DE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6</w:t>
            </w:r>
          </w:p>
        </w:tc>
        <w:tc>
          <w:tcPr>
            <w:tcW w:w="809" w:type="pct"/>
            <w:tcBorders>
              <w:bottom w:val="single" w:sz="18" w:space="0" w:color="auto"/>
            </w:tcBorders>
            <w:noWrap/>
            <w:vAlign w:val="center"/>
          </w:tcPr>
          <w:p w14:paraId="1E07718F" w14:textId="77777777" w:rsidR="00593945" w:rsidRPr="00092BD7" w:rsidRDefault="00593945" w:rsidP="00EA1DE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9C2C8E" w14:textId="4CCC0A9C" w:rsidR="00593945" w:rsidRPr="00092BD7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2500</w:t>
            </w:r>
          </w:p>
        </w:tc>
        <w:tc>
          <w:tcPr>
            <w:tcW w:w="125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660080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93945" w:rsidRPr="00092BD7" w14:paraId="0A7AFC40" w14:textId="77777777" w:rsidTr="00B841D8">
        <w:trPr>
          <w:trHeight w:val="104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00E276AA" w14:textId="2F6285B5" w:rsidR="00593945" w:rsidRPr="00092BD7" w:rsidRDefault="00593945" w:rsidP="00E73EB7">
            <w:pPr>
              <w:ind w:right="-109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O2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AEF0877" w14:textId="77777777" w:rsidR="00593945" w:rsidRPr="00092BD7" w:rsidRDefault="00593945" w:rsidP="00EA1DE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43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F247342" w14:textId="247BC564" w:rsidR="00593945" w:rsidRPr="00092BD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</w:t>
            </w:r>
            <w:r w:rsidR="000D682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v rámci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OPCIE 2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  <w:p w14:paraId="29B086A8" w14:textId="77777777" w:rsidR="002E42B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CCOS </w:t>
            </w:r>
            <w:r w:rsidR="00B009A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02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= (</w:t>
            </w:r>
            <w:r w:rsidR="00B86894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O2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x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1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 + (</w:t>
            </w:r>
            <w:r w:rsidR="00B86894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O2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) </w:t>
            </w:r>
          </w:p>
          <w:p w14:paraId="04666889" w14:textId="37C8B40F" w:rsidR="00593945" w:rsidRPr="00092BD7" w:rsidRDefault="00593945" w:rsidP="00EA1DE2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+ (</w:t>
            </w:r>
            <w:r w:rsidR="00B86894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SC</w:t>
            </w:r>
            <w:r w:rsidR="00B86894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O2 </w:t>
            </w:r>
            <w:r w:rsidR="0001077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="00010772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2500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25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67C4F86B" w14:textId="77777777" w:rsidR="00593945" w:rsidRPr="00AE7406" w:rsidRDefault="00593945" w:rsidP="00EA1DE2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34BFE28" w14:textId="77777777" w:rsidR="00B009AE" w:rsidRDefault="00B009AE">
      <w:pPr>
        <w:rPr>
          <w:rFonts w:ascii="Cambria" w:hAnsi="Cambria"/>
          <w:sz w:val="20"/>
          <w:szCs w:val="20"/>
          <w:lang w:val="sk-SK"/>
        </w:rPr>
      </w:pPr>
    </w:p>
    <w:p w14:paraId="698D7285" w14:textId="200C5C0E" w:rsidR="00B009AE" w:rsidRPr="00092BD7" w:rsidRDefault="00B009AE" w:rsidP="00B009AE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2</w:t>
      </w:r>
      <w:r>
        <w:rPr>
          <w:rFonts w:ascii="Cambria" w:hAnsi="Cambria" w:cs="Arial"/>
          <w:b/>
          <w:sz w:val="20"/>
          <w:szCs w:val="20"/>
          <w:lang w:val="sk-SK"/>
        </w:rPr>
        <w:t>d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– OPCIA </w:t>
      </w:r>
      <w:r w:rsidR="00CF2F5E">
        <w:rPr>
          <w:rFonts w:ascii="Cambria" w:hAnsi="Cambria"/>
          <w:b/>
          <w:bCs/>
          <w:sz w:val="20"/>
          <w:szCs w:val="20"/>
          <w:lang w:val="sk-SK"/>
        </w:rPr>
        <w:t>3</w:t>
      </w:r>
      <w:r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726F5A3D" w14:textId="77777777" w:rsidR="00B009AE" w:rsidRDefault="00B009AE" w:rsidP="00B009AE">
      <w:pPr>
        <w:rPr>
          <w:rFonts w:ascii="Cambria" w:hAnsi="Cambria"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10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5"/>
        <w:gridCol w:w="1745"/>
        <w:gridCol w:w="1586"/>
        <w:gridCol w:w="3193"/>
        <w:gridCol w:w="2452"/>
      </w:tblGrid>
      <w:tr w:rsidR="00B009AE" w:rsidRPr="00092BD7" w14:paraId="2BB2D9A9" w14:textId="77777777" w:rsidTr="00607532">
        <w:trPr>
          <w:trHeight w:val="298"/>
        </w:trPr>
        <w:tc>
          <w:tcPr>
            <w:tcW w:w="131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4E5D504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43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029C1DB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CFEF2BC" w14:textId="77777777" w:rsidR="00B009AE" w:rsidRPr="00092BD7" w:rsidRDefault="00B009AE" w:rsidP="0060753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B009AE" w:rsidRPr="00092BD7" w14:paraId="7D519179" w14:textId="77777777" w:rsidTr="00607532">
        <w:trPr>
          <w:trHeight w:val="260"/>
        </w:trPr>
        <w:tc>
          <w:tcPr>
            <w:tcW w:w="131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754E730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5F35D827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2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B24775" w14:textId="77777777" w:rsidR="00B009AE" w:rsidRPr="00092BD7" w:rsidRDefault="00B009AE" w:rsidP="0060753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1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6C0D92" w14:textId="77777777" w:rsidR="00B009AE" w:rsidRPr="00092BD7" w:rsidRDefault="00B009AE" w:rsidP="00607532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B009AE" w:rsidRPr="00092BD7" w14:paraId="06787D9A" w14:textId="77777777" w:rsidTr="00607532">
        <w:trPr>
          <w:trHeight w:val="49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D46BD54" w14:textId="7035CD04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O3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5DDA086B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09" w:type="pct"/>
            <w:tcBorders>
              <w:top w:val="single" w:sz="18" w:space="0" w:color="auto"/>
            </w:tcBorders>
            <w:noWrap/>
            <w:vAlign w:val="center"/>
          </w:tcPr>
          <w:p w14:paraId="1081E6F6" w14:textId="77777777" w:rsidR="00B009AE" w:rsidRPr="00092BD7" w:rsidRDefault="00B009AE" w:rsidP="0060753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2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2862908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1251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E1048D" w14:textId="77777777" w:rsidR="00B009AE" w:rsidRPr="00AE7406" w:rsidRDefault="00B009AE" w:rsidP="0060753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B009AE" w:rsidRPr="00092BD7" w14:paraId="60DC7EC5" w14:textId="77777777" w:rsidTr="00607532">
        <w:trPr>
          <w:trHeight w:val="495"/>
        </w:trPr>
        <w:tc>
          <w:tcPr>
            <w:tcW w:w="421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7773165" w14:textId="1A4EAC2E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O3</w:t>
            </w:r>
          </w:p>
        </w:tc>
        <w:tc>
          <w:tcPr>
            <w:tcW w:w="88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2AECF3A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09" w:type="pct"/>
            <w:noWrap/>
            <w:vAlign w:val="center"/>
          </w:tcPr>
          <w:p w14:paraId="5750AE40" w14:textId="77777777" w:rsidR="00B009AE" w:rsidRPr="00092BD7" w:rsidRDefault="00B009AE" w:rsidP="0060753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4D39A058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30</w:t>
            </w:r>
          </w:p>
        </w:tc>
        <w:tc>
          <w:tcPr>
            <w:tcW w:w="125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C93AAB" w14:textId="77777777" w:rsidR="00B009AE" w:rsidRPr="00AE7406" w:rsidRDefault="00B009AE" w:rsidP="0060753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B009AE" w:rsidRPr="00092BD7" w14:paraId="739E783B" w14:textId="77777777" w:rsidTr="00607532">
        <w:trPr>
          <w:trHeight w:val="495"/>
        </w:trPr>
        <w:tc>
          <w:tcPr>
            <w:tcW w:w="421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5F844CE" w14:textId="10BC824D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O3</w:t>
            </w:r>
          </w:p>
        </w:tc>
        <w:tc>
          <w:tcPr>
            <w:tcW w:w="88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0744245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6</w:t>
            </w:r>
          </w:p>
        </w:tc>
        <w:tc>
          <w:tcPr>
            <w:tcW w:w="809" w:type="pct"/>
            <w:tcBorders>
              <w:bottom w:val="single" w:sz="18" w:space="0" w:color="auto"/>
            </w:tcBorders>
            <w:noWrap/>
            <w:vAlign w:val="center"/>
          </w:tcPr>
          <w:p w14:paraId="271F03B8" w14:textId="77777777" w:rsidR="00B009AE" w:rsidRPr="00092BD7" w:rsidRDefault="00B009AE" w:rsidP="0060753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DE7B97" w14:textId="77777777" w:rsidR="00B009AE" w:rsidRPr="00092BD7" w:rsidRDefault="00B009AE" w:rsidP="00607532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2500</w:t>
            </w:r>
          </w:p>
        </w:tc>
        <w:tc>
          <w:tcPr>
            <w:tcW w:w="125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83036" w14:textId="77777777" w:rsidR="00B009AE" w:rsidRPr="00AE7406" w:rsidRDefault="00B009AE" w:rsidP="00607532">
            <w:pPr>
              <w:jc w:val="center"/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B009AE" w:rsidRPr="00092BD7" w14:paraId="15B54E26" w14:textId="77777777" w:rsidTr="00607532">
        <w:trPr>
          <w:trHeight w:val="1045"/>
        </w:trPr>
        <w:tc>
          <w:tcPr>
            <w:tcW w:w="4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21776FDD" w14:textId="083C6C0B" w:rsidR="00B009AE" w:rsidRPr="00092BD7" w:rsidRDefault="00B009AE" w:rsidP="00607532">
            <w:pPr>
              <w:ind w:right="-109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O3</w:t>
            </w:r>
          </w:p>
        </w:tc>
        <w:tc>
          <w:tcPr>
            <w:tcW w:w="889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7E0B31A5" w14:textId="77777777" w:rsidR="00B009AE" w:rsidRPr="00092BD7" w:rsidRDefault="00B009AE" w:rsidP="0060753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43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E7C8845" w14:textId="742AA60B" w:rsidR="00B009AE" w:rsidRPr="00092BD7" w:rsidRDefault="00B009AE" w:rsidP="0060753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v rámci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OPCIE </w:t>
            </w:r>
            <w:r w:rsidR="00CF2F5E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  <w:p w14:paraId="6EFD6899" w14:textId="77777777" w:rsidR="002E42B7" w:rsidRDefault="00B009AE" w:rsidP="0060753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CCOS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03 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=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O3 4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1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 +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O3 5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) </w:t>
            </w:r>
          </w:p>
          <w:p w14:paraId="5A848652" w14:textId="5307D82F" w:rsidR="00B009AE" w:rsidRPr="00092BD7" w:rsidRDefault="00B009AE" w:rsidP="00607532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+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O3 6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</w:t>
            </w:r>
            <w:r w:rsidRPr="00E73EB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2500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25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2921EE07" w14:textId="77777777" w:rsidR="00B009AE" w:rsidRPr="00AE7406" w:rsidRDefault="00B009AE" w:rsidP="00607532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r w:rsidRPr="00AE7406">
              <w:rPr>
                <w:rFonts w:ascii="Cambria" w:hAnsi="Cambria" w:cs="Arial"/>
                <w:b/>
                <w:bCs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7041115" w14:textId="525ADFE4" w:rsidR="000D682E" w:rsidRDefault="000D682E">
      <w:pPr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br w:type="page"/>
      </w:r>
    </w:p>
    <w:p w14:paraId="70DA530F" w14:textId="77777777" w:rsidR="005E7FE2" w:rsidRPr="00092BD7" w:rsidRDefault="005E7FE2">
      <w:pPr>
        <w:rPr>
          <w:rFonts w:ascii="Cambria" w:hAnsi="Cambria"/>
          <w:sz w:val="20"/>
          <w:szCs w:val="20"/>
          <w:lang w:val="sk-SK"/>
        </w:rPr>
      </w:pPr>
    </w:p>
    <w:p w14:paraId="6DFB5A57" w14:textId="6532027C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927C9E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77EC333A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927C9E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DA130E">
        <w:rPr>
          <w:rFonts w:ascii="Cambria" w:hAnsi="Cambria"/>
          <w:color w:val="000000"/>
          <w:sz w:val="20"/>
          <w:szCs w:val="20"/>
          <w:lang w:val="sk-SK"/>
        </w:rPr>
        <w:t>3</w:t>
      </w:r>
      <w:r w:rsidR="00DA130E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vynásobená počtom hodín trvania poskytovanej služby na základe výkazu prác odsúhlaseného oboma zmluvnými stranami.</w:t>
      </w:r>
    </w:p>
    <w:p w14:paraId="36E6950D" w14:textId="3EBBE562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185348">
        <w:rPr>
          <w:rFonts w:ascii="Cambria" w:hAnsi="Cambria" w:cs="Arial"/>
          <w:b/>
          <w:sz w:val="20"/>
          <w:szCs w:val="20"/>
          <w:lang w:val="sk-SK"/>
        </w:rPr>
        <w:t>3</w:t>
      </w:r>
      <w:r w:rsidR="00185348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092BD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15513A29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092BD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092BD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5DF7B20F" w:rsidR="008A38A8" w:rsidRPr="00B86894" w:rsidRDefault="0057050F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73EB7">
              <w:rPr>
                <w:rFonts w:ascii="Cambria" w:hAnsi="Cambria"/>
                <w:sz w:val="20"/>
                <w:szCs w:val="20"/>
              </w:rPr>
              <w:t>16</w:t>
            </w:r>
            <w:r w:rsidR="001E059F" w:rsidRPr="00E73EB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B841D8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B841D8">
              <w:rPr>
                <w:rFonts w:ascii="Cambria" w:hAnsi="Cambria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62B30EA9" w:rsidR="008A38A8" w:rsidRPr="00B86894" w:rsidRDefault="0057050F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73EB7">
              <w:rPr>
                <w:rFonts w:ascii="Cambria" w:hAnsi="Cambria"/>
                <w:sz w:val="20"/>
                <w:szCs w:val="20"/>
              </w:rPr>
              <w:t>16</w:t>
            </w:r>
            <w:r w:rsidR="001E059F" w:rsidRPr="00E73EB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B841D8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B841D8">
              <w:rPr>
                <w:rFonts w:ascii="Cambria" w:hAnsi="Cambria"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B350F" w:rsidRPr="00092BD7" w14:paraId="1D7E6BA9" w14:textId="77777777" w:rsidTr="00110735">
        <w:trPr>
          <w:trHeight w:val="619"/>
          <w:jc w:val="center"/>
        </w:trPr>
        <w:tc>
          <w:tcPr>
            <w:tcW w:w="1820" w:type="dxa"/>
            <w:tcBorders>
              <w:top w:val="single" w:sz="6" w:space="0" w:color="000000"/>
            </w:tcBorders>
            <w:noWrap/>
          </w:tcPr>
          <w:p w14:paraId="27308321" w14:textId="5EE1DED6" w:rsidR="009B350F" w:rsidRPr="00092BD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</w:tcBorders>
          </w:tcPr>
          <w:p w14:paraId="0B234010" w14:textId="34CB9579" w:rsidR="009B350F" w:rsidRPr="00092BD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092BD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23F6241" w:rsidR="009B350F" w:rsidRPr="00092BD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DSI = (DS1 x </w:t>
            </w:r>
            <w:r w:rsidR="0057050F" w:rsidRPr="00E73EB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16</w:t>
            </w:r>
            <w:r w:rsidR="002668A2" w:rsidRPr="00E73EB7">
              <w:rPr>
                <w:rFonts w:ascii="Cambria" w:hAnsi="Cambria"/>
                <w:bCs w:val="0"/>
                <w:sz w:val="20"/>
                <w:szCs w:val="20"/>
                <w:lang w:val="sk-SK"/>
              </w:rPr>
              <w:t>0</w:t>
            </w:r>
            <w:r w:rsidRPr="00092BD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) + (DS2 x </w:t>
            </w:r>
            <w:r w:rsidR="0057050F" w:rsidRPr="00E73EB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16</w:t>
            </w:r>
            <w:r w:rsidR="002668A2" w:rsidRPr="00E73EB7">
              <w:rPr>
                <w:rFonts w:ascii="Cambria" w:hAnsi="Cambria"/>
                <w:bCs w:val="0"/>
                <w:sz w:val="20"/>
                <w:szCs w:val="20"/>
                <w:lang w:val="sk-SK"/>
              </w:rPr>
              <w:t>0</w:t>
            </w:r>
            <w:r w:rsidRPr="00092BD7">
              <w:rPr>
                <w:rFonts w:ascii="Cambria" w:hAnsi="Cambria"/>
                <w:bCs w:val="0"/>
                <w:sz w:val="20"/>
                <w:szCs w:val="20"/>
                <w:lang w:val="sk-SK"/>
              </w:rPr>
              <w:t>)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51FBC0F" w14:textId="77777777" w:rsidR="009B350F" w:rsidRPr="00B841D8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color w:val="FF0000"/>
                <w:sz w:val="20"/>
                <w:szCs w:val="20"/>
                <w:lang w:val="sk-SK"/>
              </w:rPr>
            </w:pPr>
            <w:r w:rsidRPr="00B841D8">
              <w:rPr>
                <w:rFonts w:ascii="Cambria" w:hAnsi="Cambria" w:cs="Arial"/>
                <w:b/>
                <w:i/>
                <w:iCs/>
                <w:color w:val="FF0000"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73CF9B25" w14:textId="7E7FE175" w:rsidR="00A01228" w:rsidRPr="00092BD7" w:rsidRDefault="00A01228" w:rsidP="000D682E">
      <w:pPr>
        <w:rPr>
          <w:rFonts w:ascii="Cambria" w:hAnsi="Cambria"/>
          <w:sz w:val="20"/>
          <w:szCs w:val="20"/>
          <w:lang w:val="sk-SK"/>
        </w:rPr>
      </w:pPr>
    </w:p>
    <w:sectPr w:rsidR="00A01228" w:rsidRPr="00092BD7" w:rsidSect="00E73EB7">
      <w:headerReference w:type="default" r:id="rId7"/>
      <w:footerReference w:type="default" r:id="rId8"/>
      <w:headerReference w:type="first" r:id="rId9"/>
      <w:pgSz w:w="11906" w:h="16838"/>
      <w:pgMar w:top="1134" w:right="1134" w:bottom="709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EB53" w14:textId="77777777" w:rsidR="00A53EFE" w:rsidRDefault="00A53EFE">
      <w:r>
        <w:separator/>
      </w:r>
    </w:p>
  </w:endnote>
  <w:endnote w:type="continuationSeparator" w:id="0">
    <w:p w14:paraId="277196F4" w14:textId="77777777" w:rsidR="00A53EFE" w:rsidRDefault="00A5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0C46" w14:textId="77777777" w:rsidR="00A53EFE" w:rsidRDefault="00A53EFE">
      <w:r>
        <w:separator/>
      </w:r>
    </w:p>
  </w:footnote>
  <w:footnote w:type="continuationSeparator" w:id="0">
    <w:p w14:paraId="29750238" w14:textId="77777777" w:rsidR="00A53EFE" w:rsidRDefault="00A53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7DEB" w14:textId="77777777" w:rsidR="00B86894" w:rsidRPr="00CE3E01" w:rsidRDefault="00B86894" w:rsidP="00B86894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 xml:space="preserve">Príloha č. 4 k </w:t>
    </w:r>
    <w:r w:rsidRPr="00CE3E01">
      <w:rPr>
        <w:rFonts w:ascii="Cambria" w:hAnsi="Cambria"/>
        <w:i/>
        <w:iCs/>
        <w:sz w:val="22"/>
        <w:szCs w:val="22"/>
      </w:rPr>
      <w:t>Zmluve č. C-NBS1-000-086-992</w:t>
    </w:r>
  </w:p>
  <w:p w14:paraId="03FC4BAF" w14:textId="77777777" w:rsidR="00B86894" w:rsidRDefault="00B86894" w:rsidP="00B86894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CE3E01">
      <w:rPr>
        <w:rFonts w:ascii="Cambria" w:hAnsi="Cambria"/>
        <w:i/>
        <w:iCs/>
        <w:sz w:val="22"/>
        <w:szCs w:val="22"/>
      </w:rPr>
      <w:t>o poskytovaní servisných služieb pri zabezpečení prevádzky IS FINU/HRO</w:t>
    </w:r>
  </w:p>
  <w:p w14:paraId="2B3F7AEC" w14:textId="77777777" w:rsidR="00B86894" w:rsidRDefault="00B868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516776693">
    <w:abstractNumId w:val="4"/>
  </w:num>
  <w:num w:numId="2" w16cid:durableId="984554692">
    <w:abstractNumId w:val="2"/>
  </w:num>
  <w:num w:numId="3" w16cid:durableId="172650337">
    <w:abstractNumId w:val="14"/>
  </w:num>
  <w:num w:numId="4" w16cid:durableId="1475637497">
    <w:abstractNumId w:val="11"/>
  </w:num>
  <w:num w:numId="5" w16cid:durableId="12656345">
    <w:abstractNumId w:val="15"/>
  </w:num>
  <w:num w:numId="6" w16cid:durableId="758597357">
    <w:abstractNumId w:val="8"/>
  </w:num>
  <w:num w:numId="7" w16cid:durableId="1686979311">
    <w:abstractNumId w:val="5"/>
  </w:num>
  <w:num w:numId="8" w16cid:durableId="1662460503">
    <w:abstractNumId w:val="12"/>
  </w:num>
  <w:num w:numId="9" w16cid:durableId="1131556448">
    <w:abstractNumId w:val="10"/>
  </w:num>
  <w:num w:numId="10" w16cid:durableId="1930843993">
    <w:abstractNumId w:val="0"/>
  </w:num>
  <w:num w:numId="11" w16cid:durableId="2018188455">
    <w:abstractNumId w:val="1"/>
  </w:num>
  <w:num w:numId="12" w16cid:durableId="182327889">
    <w:abstractNumId w:val="9"/>
  </w:num>
  <w:num w:numId="13" w16cid:durableId="320037284">
    <w:abstractNumId w:val="6"/>
  </w:num>
  <w:num w:numId="14" w16cid:durableId="1638216647">
    <w:abstractNumId w:val="7"/>
  </w:num>
  <w:num w:numId="15" w16cid:durableId="828591710">
    <w:abstractNumId w:val="13"/>
  </w:num>
  <w:num w:numId="16" w16cid:durableId="154148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772"/>
    <w:rsid w:val="00010840"/>
    <w:rsid w:val="000245CA"/>
    <w:rsid w:val="0002617E"/>
    <w:rsid w:val="00026C99"/>
    <w:rsid w:val="00043605"/>
    <w:rsid w:val="0004638E"/>
    <w:rsid w:val="00054625"/>
    <w:rsid w:val="00067A49"/>
    <w:rsid w:val="00073DD3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4DE0"/>
    <w:rsid w:val="000C53E1"/>
    <w:rsid w:val="000D4276"/>
    <w:rsid w:val="000D682E"/>
    <w:rsid w:val="000E14DB"/>
    <w:rsid w:val="000E70B0"/>
    <w:rsid w:val="000E7A67"/>
    <w:rsid w:val="000F2A08"/>
    <w:rsid w:val="000F6C77"/>
    <w:rsid w:val="0010559E"/>
    <w:rsid w:val="00110735"/>
    <w:rsid w:val="00120639"/>
    <w:rsid w:val="0012691D"/>
    <w:rsid w:val="00135347"/>
    <w:rsid w:val="00140BBF"/>
    <w:rsid w:val="00150FBF"/>
    <w:rsid w:val="00151848"/>
    <w:rsid w:val="001544F3"/>
    <w:rsid w:val="00165525"/>
    <w:rsid w:val="001661CA"/>
    <w:rsid w:val="001661F1"/>
    <w:rsid w:val="00173728"/>
    <w:rsid w:val="00174B13"/>
    <w:rsid w:val="0017525A"/>
    <w:rsid w:val="001801E2"/>
    <w:rsid w:val="00180E20"/>
    <w:rsid w:val="001815E2"/>
    <w:rsid w:val="001818AB"/>
    <w:rsid w:val="00185348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059F"/>
    <w:rsid w:val="001E66D7"/>
    <w:rsid w:val="001F2DA5"/>
    <w:rsid w:val="0022688E"/>
    <w:rsid w:val="0022737E"/>
    <w:rsid w:val="00244704"/>
    <w:rsid w:val="00253962"/>
    <w:rsid w:val="00260D02"/>
    <w:rsid w:val="00264BE6"/>
    <w:rsid w:val="002668A2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E097B"/>
    <w:rsid w:val="002E42B7"/>
    <w:rsid w:val="002F669A"/>
    <w:rsid w:val="002F7024"/>
    <w:rsid w:val="00301080"/>
    <w:rsid w:val="0031046F"/>
    <w:rsid w:val="00313F90"/>
    <w:rsid w:val="0031590B"/>
    <w:rsid w:val="00330A83"/>
    <w:rsid w:val="0034428D"/>
    <w:rsid w:val="00352D97"/>
    <w:rsid w:val="0035361B"/>
    <w:rsid w:val="0035630C"/>
    <w:rsid w:val="00357FC2"/>
    <w:rsid w:val="00370131"/>
    <w:rsid w:val="00373A05"/>
    <w:rsid w:val="003A22A4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2842"/>
    <w:rsid w:val="00424C8D"/>
    <w:rsid w:val="00434FB4"/>
    <w:rsid w:val="00452D60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4F363D"/>
    <w:rsid w:val="00500A34"/>
    <w:rsid w:val="00501FA5"/>
    <w:rsid w:val="00504B0A"/>
    <w:rsid w:val="005056AD"/>
    <w:rsid w:val="0051724A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050F"/>
    <w:rsid w:val="005748DC"/>
    <w:rsid w:val="00574902"/>
    <w:rsid w:val="005760DF"/>
    <w:rsid w:val="00580D36"/>
    <w:rsid w:val="00581000"/>
    <w:rsid w:val="00581F29"/>
    <w:rsid w:val="00583197"/>
    <w:rsid w:val="00593945"/>
    <w:rsid w:val="005A0ACC"/>
    <w:rsid w:val="005A1AD1"/>
    <w:rsid w:val="005A61A0"/>
    <w:rsid w:val="005B1B23"/>
    <w:rsid w:val="005B2B0A"/>
    <w:rsid w:val="005C017F"/>
    <w:rsid w:val="005C2562"/>
    <w:rsid w:val="005C3284"/>
    <w:rsid w:val="005C5052"/>
    <w:rsid w:val="005C5A24"/>
    <w:rsid w:val="005D1537"/>
    <w:rsid w:val="005D229F"/>
    <w:rsid w:val="005D3169"/>
    <w:rsid w:val="005D35D8"/>
    <w:rsid w:val="005D373D"/>
    <w:rsid w:val="005E7FE2"/>
    <w:rsid w:val="00600E02"/>
    <w:rsid w:val="0060118F"/>
    <w:rsid w:val="00603DB1"/>
    <w:rsid w:val="00612262"/>
    <w:rsid w:val="00617E15"/>
    <w:rsid w:val="00626926"/>
    <w:rsid w:val="00640117"/>
    <w:rsid w:val="00646618"/>
    <w:rsid w:val="00657DD9"/>
    <w:rsid w:val="0066182B"/>
    <w:rsid w:val="00667957"/>
    <w:rsid w:val="0067355C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B5F"/>
    <w:rsid w:val="009A4473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7B5C"/>
    <w:rsid w:val="00A42853"/>
    <w:rsid w:val="00A45DEA"/>
    <w:rsid w:val="00A479EF"/>
    <w:rsid w:val="00A50036"/>
    <w:rsid w:val="00A52A83"/>
    <w:rsid w:val="00A53EFE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E7406"/>
    <w:rsid w:val="00AF5E55"/>
    <w:rsid w:val="00B009AE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841D8"/>
    <w:rsid w:val="00B86894"/>
    <w:rsid w:val="00B907DB"/>
    <w:rsid w:val="00B91F18"/>
    <w:rsid w:val="00B9381D"/>
    <w:rsid w:val="00B97575"/>
    <w:rsid w:val="00BA1950"/>
    <w:rsid w:val="00BB05BC"/>
    <w:rsid w:val="00BB7387"/>
    <w:rsid w:val="00BC7347"/>
    <w:rsid w:val="00BE3EEF"/>
    <w:rsid w:val="00BE6E21"/>
    <w:rsid w:val="00BF6561"/>
    <w:rsid w:val="00BF7446"/>
    <w:rsid w:val="00C0013F"/>
    <w:rsid w:val="00C05E86"/>
    <w:rsid w:val="00C11062"/>
    <w:rsid w:val="00C13429"/>
    <w:rsid w:val="00C22DF5"/>
    <w:rsid w:val="00C41806"/>
    <w:rsid w:val="00C5642E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6953"/>
    <w:rsid w:val="00CC77D9"/>
    <w:rsid w:val="00CD3BAC"/>
    <w:rsid w:val="00CD3DCC"/>
    <w:rsid w:val="00CE3E01"/>
    <w:rsid w:val="00CF2F5E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2FDD"/>
    <w:rsid w:val="00D615B7"/>
    <w:rsid w:val="00D807A2"/>
    <w:rsid w:val="00D847B3"/>
    <w:rsid w:val="00D920EF"/>
    <w:rsid w:val="00DA130E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6A6D"/>
    <w:rsid w:val="00E3175E"/>
    <w:rsid w:val="00E45D7E"/>
    <w:rsid w:val="00E50E52"/>
    <w:rsid w:val="00E544D5"/>
    <w:rsid w:val="00E613BB"/>
    <w:rsid w:val="00E61460"/>
    <w:rsid w:val="00E644C3"/>
    <w:rsid w:val="00E73EB7"/>
    <w:rsid w:val="00E82814"/>
    <w:rsid w:val="00E86D44"/>
    <w:rsid w:val="00EA0AE6"/>
    <w:rsid w:val="00EA2CED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4349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paragraph" w:styleId="Revision">
    <w:name w:val="Revision"/>
    <w:hidden/>
    <w:uiPriority w:val="99"/>
    <w:semiHidden/>
    <w:rsid w:val="00CE3E01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1141</Words>
  <Characters>6281</Characters>
  <Application>Microsoft Office Word</Application>
  <DocSecurity>0</DocSecurity>
  <Lines>52</Lines>
  <Paragraphs>14</Paragraphs>
  <ScaleCrop>false</ScaleCrop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2023-08-25T08:02:00Z</dcterms:created>
  <dcterms:modified xsi:type="dcterms:W3CDTF">2023-08-25T08:02:00Z</dcterms:modified>
</cp:coreProperties>
</file>